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模拟交易委托指令单（2026-09-29）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28300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836265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综合评分77.0分（基本面100/技术面54.0）达标，目标仓位24%，买入后占比24.0%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300750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315480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综合评分70.5分（基本面87.0/技术面54.0）达标，目标仓位24%，买入后占比6.6%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