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471.64万元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-5.67%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-4.46%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-6.59 万元（现价52.5，成本56.12）。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-2.26 万元（现价29.46，成本30.05）。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+0.46 万元（现价28.38，成本27.89）。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+0.84 万元（现价11.36，成本10.47）。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-0.83 万元（现价15.87，成本17.52）。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-1.84 万元（现价32.86，成本35.87）。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+0.20 万元（现价140.7，成本136.73）。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-0.10 万元（现价7.14，成本7.33）。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-0.04 万元（现价19.89，成本20.76）。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-0.10 万元（现价176.56，成本177.58）。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+0.34 万元（现价160.66，成本158.08）。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+0.03 万元（现价42.98，成本42.65）。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-2.05 万元（现价38.44，成本43.56）。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+0.00 万元（现价286.8，成本286.80）。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