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443.04万元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-11.39%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-12.37%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+0.98%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46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601899（601899）：已实现盈亏 -17.55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+2.13 万元（现价29.74，成本29.18）。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+1.76 万元（现价89.18，成本85.28）。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-0.67 万元（现价9.77，成本10.47）。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-1.25 万元（现价15.02，成本17.52）。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-8.69 万元（现价21.62，成本35.87）。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-0.70 万元（现价122.75，成本136.73）。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-0.89 万元（现价5.55，成本7.33）。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-0.15 万元（现价17.71，成本20.76）。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-3.91 万元（现价138.5，成本177.58）。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-2.09 万元（现价142.01，成本158.08）。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-0.13 万元（现价41.37，成本42.65）。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-4.24 万元（现价32.97，成本43.56）。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-2.11 万元（现价232.92，成本237.60）。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7562 元，占初始资金 0.151%。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