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459.87万元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-8.03%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-8.30%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+0.27%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22.5%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6173元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42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601318（601318）：已实现盈亏 -9.67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-0.49 万元（现价29.92，成本30.05）。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+0.75 万元（现价29.38，成本29.18）。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-0.25 万元（现价10.21，成本10.47）。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-1.20 万元（现价15.12，成本17.52）。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-6.15 万元（现价25.78，成本35.87）。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-0.58 万元（现价125.12，成本136.73）。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-0.50 万元（现价6.32，成本7.33）。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-0.13 万元（现价18.19，成本20.76）。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-1.28 万元（现价164.77，成本177.58）。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-1.79 万元（现价144.3，成本158.08）。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-0.63 万元（现价36.39，成本42.65）。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-1.47 万元（现价39.89，成本43.56）。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-1.08 万元（现价277.0，成本286.80）。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6173 元，占初始资金 0.123%。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