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交易复盘（2026-10-26）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466.85万元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-6.63%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94.78万元（20.3%）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43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7562元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1884.0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000333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1645.0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601872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601918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-1450.0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002517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002396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-3783.0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600988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300750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-21758.0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510300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-57994.0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601318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-96738.0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-175534.0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29.184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29.86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25905.0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+2.32%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美的集团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85.28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85.5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990.0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+0.26%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10.472631578947368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星网锐捷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深信服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哈药股份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招商轮船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睿创微纳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药明康德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158.08076923076922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康龙化成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赤峰黄金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宁德时代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237.6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238.0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1800.0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+0.17%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最成功交易为600900（+1884元），坚持了预设的止盈/逻辑纪律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最差交易为601899（-175534元），需在后续复盘中检视买入依据是否充分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