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模拟交易委托指令单（2026-10-15）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600900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858400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综合评分72.0分（基本面78.0/技术面66.0）达标，目标仓位24%，买入后占比24.0%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