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487.42万元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-2.52%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-0.68%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4113元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-1.32 万元（现价4.59，成本4.64）。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-4.09 万元（现价53.87，成本56.12）。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万元（现价31.41，成本31.41）。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+0.18 万元（现价28.08，成本27.89）。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+0.38 万元（现价10.87，成本10.47）。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-0.57 万元（现价16.38，成本17.52）。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+0.40 万元（现价36.52，成本35.87）。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+0.49 万元（现价146.43，成本136.73）。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+0.85 万元（现价9.04，成本7.33）。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+0.00 万元（现价20.78，成本20.76）。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+0.65 万元（现价184.06，成本177.58）。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+1.28 万元（现价167.95，成本158.08）。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+0.24 万元（现价45.02，成本42.65）。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-0.42 万元（现价42.5，成本43.56）。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4113 元，占初始资金 0.082%。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