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443.04万元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-11.39%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-12.28%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+0.89%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21.4%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7562元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46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601899（601899）：已实现盈亏 -17.55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美的集团（000333）：已实现盈亏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星网锐捷（002396）：已实现盈亏 -0.38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恺英网络（002517）：已实现盈亏 -0.21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招商轮船（601872）：已实现盈亏 -0.03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新集能源（601918）：已实现盈亏 -0.14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赤峰黄金（600988）：已实现盈亏 -0.41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601318（601318）：已实现盈亏 -9.67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510300（510300）：已实现盈亏 -5.80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宁德时代（300750）：已实现盈亏 -2.18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+2.13 万元（现价29.74，成本29.18）。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美的集团（000333）：浮动盈亏 +1.76 万元（现价89.18，成本85.28）。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-0.67 万元（现价9.77，成本10.47）。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-1.25 万元（现价15.02，成本17.52）。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星网锐捷（002396）：浮动盈亏 -8.69 万元（现价21.62，成本35.87）。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深信服（300454）：浮动盈亏 -0.70 万元（现价122.75，成本136.73）。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哈药股份（600664）：浮动盈亏 -0.89 万元（现价5.55，成本7.33）。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招商轮船（601872）：浮动盈亏 -0.15 万元（现价17.71，成本20.76）。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睿创微纳（688002）：浮动盈亏 -3.91 万元（现价138.5，成本177.58）。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药明康德（603259）：浮动盈亏 -2.09 万元（现价142.01，成本158.08）。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康龙化成（300759）：浮动盈亏 -0.13 万元（现价41.37，成本42.65）。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赤峰黄金（600988）：浮动盈亏 -4.24 万元（现价32.97，成本43.56）。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宁德时代（300750）：浮动盈亏 -2.11 万元（现价232.92，成本237.60）。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7562 元，占初始资金 0.151%。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对照：等权持有观察池12只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