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交易复盘（2026-09-09）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499.39万元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100.06万元（20.0%）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暂无平仓交易。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-777.0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-0.06%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-810.0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-0.22%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55.7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-8904.0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-0.75%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36500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4380.0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+0.36%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组合运行正常：持仓均处于纪律区间内，按计划继续持有观察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