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交易复盘（2026-09-08）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499.07万元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100.06万元（20.0%）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暂无平仓交易。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4.624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-4401.0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-0.37%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55.7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-8904.0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-0.75%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36500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33.86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4015.0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+0.33%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组合运行正常：持仓均处于纪律区间内，按计划继续持有观察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