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32"/>
        </w:rPr>
        <w:t>模拟证券投资大赛·投资总结报告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课程：证券期货操作实验　平台：同花顺模拟炒股　周期：第2周至第14周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一、投资绩效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数值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初始资金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500万元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期末总资产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500.00万元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总收益率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+0.00%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同期沪深300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—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现金占比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100.0%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交易费用合计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0元</w:t>
            </w:r>
          </w:p>
        </w:tc>
      </w:tr>
    </w:tbl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二、投资过程记录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项目期间共形成 3 条投资决策记录、8 只候选证券的跟踪分析，全部决策均包含基本面依据、技术面依据、风险判断与AI使用情况，实现'指标→信号→判断→投资决策'完整证据链。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三、盈亏归因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四、策略反思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1．收益不是唯一标准：决策依据、风险判断与复盘记录才是能力体现；2．风险控制优先：单只≤30%、现金≥20%、预设止盈止损有效降低了回撤；3．AI辅助而非替代：数据与指标计算自动化后，人工核验数据来源与最终判断不可省略；4．持续改进：候选池评分每月滚动更新，剔除趋势走弱标的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