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443.46万元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-11.31%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-11.13%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-0.18%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21.4%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46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-17.55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宁德时代（300750）：已实现盈亏 -2.18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+3.09 万元（现价29.99，成本29.18）。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美的集团（000333）：浮动盈亏 +0.99 万元（现价87.48，成本85.28）。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-0.59 万元（现价9.85，成本10.47）。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-1.05 万元（现价15.42，成本17.52）。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-7.76 万元（现价23.15，成本35.87）。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-0.64 万元（现价123.93，成本136.73）。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-1.02 万元（现价5.29，成本7.33）。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-0.18 万元（现价17.19，成本20.76）。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-3.86 万元（现价139.03，成本177.58）。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-1.97 万元（现价142.89，成本158.08）。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-0.26 万元（现价40.0，成本42.65）。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-3.42 万元（现价35.0，成本43.56）。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-3.84 万元（现价229.07，成本237.60）。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7562 元，占初始资金 0.151%。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