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>. Subito dopo elimina dalla repository tutti i Green Pass ricevuti per la validazione e avvisa Carmine che la sessione è stata terminata correttamente.</w:t>
            </w:r>
          </w:p>
        </w:tc>
      </w:tr>
    </w:tbl>
    <w:p w14:paraId="72ED1B00" w14:textId="69E5EFB1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29535C" w14:textId="77777777" w:rsidR="006D10CB" w:rsidRDefault="006D10C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2AFC66D" w14:textId="72683547" w:rsidR="00C71C3E" w:rsidRDefault="00C71C3E" w:rsidP="00C71C3E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4C1A34">
        <w:rPr>
          <w:sz w:val="24"/>
          <w:szCs w:val="24"/>
        </w:rPr>
        <w:t>SC_</w:t>
      </w:r>
      <w:r>
        <w:rPr>
          <w:sz w:val="24"/>
          <w:szCs w:val="24"/>
        </w:rPr>
        <w:t>5 Salvataggio Report</w:t>
      </w:r>
    </w:p>
    <w:p w14:paraId="4C5BF93F" w14:textId="77777777" w:rsidR="00C71C3E" w:rsidRDefault="00C71C3E" w:rsidP="00C71C3E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7F75C1D2" w14:textId="77777777" w:rsidR="00C71C3E" w:rsidRDefault="00C71C3E" w:rsidP="00C71C3E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71C3E" w14:paraId="135B706D" w14:textId="77777777" w:rsidTr="00C71C3E">
        <w:tc>
          <w:tcPr>
            <w:tcW w:w="4889" w:type="dxa"/>
          </w:tcPr>
          <w:p w14:paraId="3E28955A" w14:textId="77777777" w:rsidR="00C71C3E" w:rsidRPr="006D10CB" w:rsidRDefault="00C71C3E" w:rsidP="00C71C3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Carmine Gravino, dopo aver terminato la sessione di controllo per la lezione che sta tenendo, decide di voler scaricare sulla sua macchina un report di tale validazione; dunque clicca sul pulsante “Scarica Report” che visualizza sullo schermo.</w:t>
            </w:r>
          </w:p>
          <w:p w14:paraId="5DCD71C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2EC1665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6BA90D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03C96F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CCBE7D" w14:textId="64A2E118" w:rsidR="006D10CB" w:rsidRPr="006D10CB" w:rsidRDefault="006D10CB" w:rsidP="004F76CF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Gravino clicca sul pulsante e attende il download.</w:t>
            </w:r>
          </w:p>
        </w:tc>
        <w:tc>
          <w:tcPr>
            <w:tcW w:w="4889" w:type="dxa"/>
          </w:tcPr>
          <w:p w14:paraId="015E14C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499A2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437301B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BDE4315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370C7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B586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42DDDE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89A63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5BC3EF8" w14:textId="77777777" w:rsidR="006D10CB" w:rsidRPr="006D10CB" w:rsidRDefault="006D10CB" w:rsidP="004F76CF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mostra a Gravino un’anteprima del report, riferito alla sessione appena terminata, e un pulsante di conferma.</w:t>
            </w:r>
          </w:p>
          <w:p w14:paraId="10979A6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F4112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4AB8F6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B49F99" w14:textId="3C2D5D71" w:rsidR="006D10CB" w:rsidRPr="006D10CB" w:rsidRDefault="006D10CB" w:rsidP="004F76CF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effettua il download del file</w:t>
            </w:r>
          </w:p>
        </w:tc>
      </w:tr>
    </w:tbl>
    <w:p w14:paraId="6CCC4534" w14:textId="7387D233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C97E789" w14:textId="2A9A5A19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E7F3710" w14:textId="77777777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00D67517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4F76CF">
        <w:rPr>
          <w:sz w:val="24"/>
          <w:szCs w:val="24"/>
        </w:rPr>
        <w:t>6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1F75D218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4F76CF">
        <w:rPr>
          <w:sz w:val="24"/>
          <w:szCs w:val="24"/>
        </w:rPr>
        <w:t>7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3C04291C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4F76CF">
        <w:rPr>
          <w:sz w:val="24"/>
          <w:szCs w:val="24"/>
        </w:rPr>
        <w:t>8</w:t>
      </w:r>
      <w:r w:rsidR="00666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lastRenderedPageBreak/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una notifica di errore in merito alla validazione di questo Green Pass con la dicitura “Errore Validazione” ed elimina tale Green Pass dalla repository.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F08C" w14:textId="77777777" w:rsidR="009F71A6" w:rsidRDefault="009F71A6" w:rsidP="007F61EF">
      <w:pPr>
        <w:spacing w:after="0" w:line="240" w:lineRule="auto"/>
      </w:pPr>
      <w:r>
        <w:separator/>
      </w:r>
    </w:p>
  </w:endnote>
  <w:endnote w:type="continuationSeparator" w:id="0">
    <w:p w14:paraId="5E6C8EDE" w14:textId="77777777" w:rsidR="009F71A6" w:rsidRDefault="009F71A6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D46D" w14:textId="77777777" w:rsidR="009F71A6" w:rsidRDefault="009F71A6" w:rsidP="007F61EF">
      <w:pPr>
        <w:spacing w:after="0" w:line="240" w:lineRule="auto"/>
      </w:pPr>
      <w:r>
        <w:separator/>
      </w:r>
    </w:p>
  </w:footnote>
  <w:footnote w:type="continuationSeparator" w:id="0">
    <w:p w14:paraId="3F2651FC" w14:textId="77777777" w:rsidR="009F71A6" w:rsidRDefault="009F71A6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5635C"/>
    <w:multiLevelType w:val="hybridMultilevel"/>
    <w:tmpl w:val="325C4380"/>
    <w:lvl w:ilvl="0" w:tplc="94BA06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05F18"/>
    <w:multiLevelType w:val="hybridMultilevel"/>
    <w:tmpl w:val="BC8CBD4C"/>
    <w:lvl w:ilvl="0" w:tplc="D71277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C1536"/>
    <w:multiLevelType w:val="hybridMultilevel"/>
    <w:tmpl w:val="616CE632"/>
    <w:lvl w:ilvl="0" w:tplc="E972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92E76"/>
    <w:multiLevelType w:val="hybridMultilevel"/>
    <w:tmpl w:val="3A7AAAEC"/>
    <w:lvl w:ilvl="0" w:tplc="A6882F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3"/>
  </w:num>
  <w:num w:numId="4">
    <w:abstractNumId w:val="24"/>
  </w:num>
  <w:num w:numId="5">
    <w:abstractNumId w:val="16"/>
  </w:num>
  <w:num w:numId="6">
    <w:abstractNumId w:val="6"/>
  </w:num>
  <w:num w:numId="7">
    <w:abstractNumId w:val="17"/>
  </w:num>
  <w:num w:numId="8">
    <w:abstractNumId w:val="2"/>
  </w:num>
  <w:num w:numId="9">
    <w:abstractNumId w:val="20"/>
  </w:num>
  <w:num w:numId="10">
    <w:abstractNumId w:val="15"/>
  </w:num>
  <w:num w:numId="11">
    <w:abstractNumId w:val="27"/>
  </w:num>
  <w:num w:numId="12">
    <w:abstractNumId w:val="11"/>
  </w:num>
  <w:num w:numId="13">
    <w:abstractNumId w:val="19"/>
  </w:num>
  <w:num w:numId="14">
    <w:abstractNumId w:val="22"/>
  </w:num>
  <w:num w:numId="15">
    <w:abstractNumId w:val="13"/>
  </w:num>
  <w:num w:numId="16">
    <w:abstractNumId w:val="9"/>
  </w:num>
  <w:num w:numId="17">
    <w:abstractNumId w:val="18"/>
  </w:num>
  <w:num w:numId="18">
    <w:abstractNumId w:val="1"/>
  </w:num>
  <w:num w:numId="19">
    <w:abstractNumId w:val="12"/>
  </w:num>
  <w:num w:numId="20">
    <w:abstractNumId w:val="10"/>
  </w:num>
  <w:num w:numId="21">
    <w:abstractNumId w:val="14"/>
  </w:num>
  <w:num w:numId="22">
    <w:abstractNumId w:val="5"/>
  </w:num>
  <w:num w:numId="23">
    <w:abstractNumId w:val="31"/>
  </w:num>
  <w:num w:numId="24">
    <w:abstractNumId w:val="0"/>
  </w:num>
  <w:num w:numId="25">
    <w:abstractNumId w:val="7"/>
  </w:num>
  <w:num w:numId="26">
    <w:abstractNumId w:val="40"/>
  </w:num>
  <w:num w:numId="27">
    <w:abstractNumId w:val="29"/>
  </w:num>
  <w:num w:numId="28">
    <w:abstractNumId w:val="32"/>
  </w:num>
  <w:num w:numId="29">
    <w:abstractNumId w:val="25"/>
  </w:num>
  <w:num w:numId="30">
    <w:abstractNumId w:val="38"/>
  </w:num>
  <w:num w:numId="31">
    <w:abstractNumId w:val="36"/>
  </w:num>
  <w:num w:numId="32">
    <w:abstractNumId w:val="35"/>
  </w:num>
  <w:num w:numId="33">
    <w:abstractNumId w:val="21"/>
  </w:num>
  <w:num w:numId="34">
    <w:abstractNumId w:val="37"/>
  </w:num>
  <w:num w:numId="35">
    <w:abstractNumId w:val="8"/>
  </w:num>
  <w:num w:numId="36">
    <w:abstractNumId w:val="30"/>
  </w:num>
  <w:num w:numId="37">
    <w:abstractNumId w:val="26"/>
  </w:num>
  <w:num w:numId="38">
    <w:abstractNumId w:val="34"/>
  </w:num>
  <w:num w:numId="39">
    <w:abstractNumId w:val="39"/>
  </w:num>
  <w:num w:numId="40">
    <w:abstractNumId w:val="4"/>
  </w:num>
  <w:num w:numId="41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54AD8"/>
    <w:rsid w:val="004A54F7"/>
    <w:rsid w:val="004C1A34"/>
    <w:rsid w:val="004C3167"/>
    <w:rsid w:val="004E6F07"/>
    <w:rsid w:val="004F76CF"/>
    <w:rsid w:val="00510A2D"/>
    <w:rsid w:val="00514997"/>
    <w:rsid w:val="00540AAD"/>
    <w:rsid w:val="00553DE6"/>
    <w:rsid w:val="00577574"/>
    <w:rsid w:val="005E5508"/>
    <w:rsid w:val="005E5F49"/>
    <w:rsid w:val="00604ADA"/>
    <w:rsid w:val="006055D2"/>
    <w:rsid w:val="00612D19"/>
    <w:rsid w:val="00646238"/>
    <w:rsid w:val="006612AD"/>
    <w:rsid w:val="0066652C"/>
    <w:rsid w:val="006A7355"/>
    <w:rsid w:val="006A74D8"/>
    <w:rsid w:val="006B67FD"/>
    <w:rsid w:val="006C2D29"/>
    <w:rsid w:val="006D0116"/>
    <w:rsid w:val="006D10CB"/>
    <w:rsid w:val="006D7165"/>
    <w:rsid w:val="007023EC"/>
    <w:rsid w:val="00720711"/>
    <w:rsid w:val="0078300E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9F71A6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71C3E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15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20</cp:revision>
  <dcterms:created xsi:type="dcterms:W3CDTF">2021-10-21T16:10:00Z</dcterms:created>
  <dcterms:modified xsi:type="dcterms:W3CDTF">2021-11-05T08:53:00Z</dcterms:modified>
</cp:coreProperties>
</file>