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0BA56BF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21937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69B6EBD3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096ED2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096ED2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096ED2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5E919021" w:rsidR="00A916A7" w:rsidRPr="00017542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CDB5644" w:rsidR="00101F7F" w:rsidRDefault="00786BF3" w:rsidP="00626C12">
      <w:pPr>
        <w:pStyle w:val="Gpstes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48C01D" wp14:editId="215F350A">
            <wp:extent cx="5968531" cy="44500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33" cy="44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Cod_Dip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04F2799" w14:textId="33D49789" w:rsidR="009A66D2" w:rsidRPr="009A66D2" w:rsidRDefault="009A66D2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7C4F5C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7B4FDE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Orario;</w:t>
            </w:r>
          </w:p>
          <w:p w14:paraId="02F0ED70" w14:textId="75F8EBCF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77777777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(0, N)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492BEEA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6E4D68FF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301BCE4D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Ricerca</w:t>
      </w:r>
      <w:r w:rsidRPr="00E56E9B">
        <w:rPr>
          <w:b/>
          <w:color w:val="3E762A" w:themeColor="accent1" w:themeShade="BF"/>
        </w:rPr>
        <w:t xml:space="preserve">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D62589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Scelta</w:t>
      </w:r>
      <w:r w:rsidRPr="00E56E9B">
        <w:rPr>
          <w:b/>
          <w:color w:val="3E762A" w:themeColor="accent1" w:themeShade="BF"/>
        </w:rPr>
        <w:t xml:space="preserve">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5471EB5D" w:rsidR="00257A56" w:rsidRDefault="00361355" w:rsidP="00F605EB">
      <w:pPr>
        <w:pStyle w:val="Gpstesto"/>
        <w:spacing w:after="240"/>
        <w:ind w:firstLine="708"/>
        <w:rPr>
          <w:noProof/>
          <w:szCs w:val="24"/>
        </w:rPr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F605EB">
        <w:t>.</w:t>
      </w:r>
    </w:p>
    <w:p w14:paraId="41758A89" w14:textId="7B09FA9E" w:rsidR="0099376E" w:rsidRPr="008F4DEB" w:rsidRDefault="00F605EB" w:rsidP="0099376E">
      <w:pPr>
        <w:pStyle w:val="Gpstesto"/>
      </w:pPr>
      <w:r>
        <w:rPr>
          <w:noProof/>
          <w:szCs w:val="24"/>
        </w:rPr>
        <w:drawing>
          <wp:inline distT="0" distB="0" distL="0" distR="0" wp14:anchorId="0EDB44FB" wp14:editId="4D589EFB">
            <wp:extent cx="6568440" cy="322271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10" cy="32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EEED" w14:textId="77777777" w:rsidR="00096ED2" w:rsidRDefault="00096ED2" w:rsidP="00F6438F">
      <w:pPr>
        <w:spacing w:after="0" w:line="240" w:lineRule="auto"/>
      </w:pPr>
      <w:r>
        <w:separator/>
      </w:r>
    </w:p>
  </w:endnote>
  <w:endnote w:type="continuationSeparator" w:id="0">
    <w:p w14:paraId="4749D696" w14:textId="77777777" w:rsidR="00096ED2" w:rsidRDefault="00096ED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FD05" w14:textId="77777777" w:rsidR="00096ED2" w:rsidRDefault="00096ED2" w:rsidP="00F6438F">
      <w:pPr>
        <w:spacing w:after="0" w:line="240" w:lineRule="auto"/>
      </w:pPr>
      <w:r>
        <w:separator/>
      </w:r>
    </w:p>
  </w:footnote>
  <w:footnote w:type="continuationSeparator" w:id="0">
    <w:p w14:paraId="0C344943" w14:textId="77777777" w:rsidR="00096ED2" w:rsidRDefault="00096ED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919D7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22</Pages>
  <Words>4069</Words>
  <Characters>23196</Characters>
  <Application>Microsoft Office Word</Application>
  <DocSecurity>0</DocSecurity>
  <Lines>193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86</cp:revision>
  <cp:lastPrinted>2018-11-24T11:21:00Z</cp:lastPrinted>
  <dcterms:created xsi:type="dcterms:W3CDTF">2018-10-08T09:36:00Z</dcterms:created>
  <dcterms:modified xsi:type="dcterms:W3CDTF">2021-12-10T11:25:00Z</dcterms:modified>
</cp:coreProperties>
</file>