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24" w:name="executive-summary"/>
    <w:p>
      <w:pPr>
        <w:pStyle w:val="Heading1"/>
      </w:pPr>
      <w:r>
        <w:t xml:space="preserve">Executive Summary</w:t>
      </w:r>
    </w:p>
    <w:p>
      <w:pPr>
        <w:pStyle w:val="FirstParagraph"/>
      </w:pPr>
      <w:r>
        <w:t xml:space="preserve">Worldwide research is expanding rapidly – UNESCO reports ~8.8 million full-time equivalent researchers and roughly 2 million publications per year</w:t>
      </w:r>
      <w:hyperlink r:id="rId21">
        <w:r>
          <w:rPr>
            <w:rStyle w:val="Hyperlink"/>
          </w:rPr>
          <w:t xml:space="preserve">[1]</w:t>
        </w:r>
      </w:hyperlink>
      <w:hyperlink r:id="rId22">
        <w:r>
          <w:rPr>
            <w:rStyle w:val="Hyperlink"/>
          </w:rPr>
          <w:t xml:space="preserve">[2]</w:t>
        </w:r>
      </w:hyperlink>
      <w:r>
        <w:t xml:space="preserve">. Yet access to sensitive data (patient records, proprietary trials, etc.) remains a major bottleneck, slowing projects by months or even derailing collaborations</w:t>
      </w:r>
      <w:hyperlink r:id="rId23">
        <w:r>
          <w:rPr>
            <w:rStyle w:val="Hyperlink"/>
          </w:rPr>
          <w:t xml:space="preserve">[3]</w:t>
        </w:r>
      </w:hyperlink>
      <w:r>
        <w:t xml:space="preserve">. A “goal-led agentic” platform like DIGIT could accelerate research by obviating much of that friction: scientists state an objective, and internal secure agents run analyses on private datasets, returning approved reports. In effect, more labs (academic, biotech, pharma, hospital research units) worldwide could leverage rich data without direct access, boosting their productivity.</w:t>
      </w:r>
    </w:p>
    <w:p>
      <w:pPr>
        <w:pStyle w:val="BodyText"/>
      </w:pPr>
      <w:r>
        <w:t xml:space="preserve">To quantify this impact, we estimate the number of potential beneficiary entities (universities and research institutes, biotech firms, pharma R&amp;D units, clinical research labs), outline current access barriers (time/cost), and project DIGIT adoption under</w:t>
      </w:r>
      <w:r>
        <w:t xml:space="preserve"> </w:t>
      </w:r>
      <w:r>
        <w:rPr>
          <w:b/>
          <w:bCs/>
        </w:rPr>
        <w:t xml:space="preserve">three scenarios</w:t>
      </w:r>
      <w:r>
        <w:t xml:space="preserve"> </w:t>
      </w:r>
      <w:r>
        <w:t xml:space="preserve">(conservative/moderate/optimistic) over 5–10 years. We assume reasonable per-lab gains (e.g. 10–30% faster results) based on case analogies. Aggregating across labs yields scenarios of thousands of additional projects per year. For example, even a conservative rollout (5–10% penetration by 2036) could yield</w:t>
      </w:r>
      <w:r>
        <w:t xml:space="preserve"> </w:t>
      </w:r>
      <w:r>
        <w:rPr>
          <w:b/>
          <w:bCs/>
        </w:rPr>
        <w:t xml:space="preserve">tens of thousands</w:t>
      </w:r>
      <w:r>
        <w:t xml:space="preserve"> </w:t>
      </w:r>
      <w:r>
        <w:t xml:space="preserve">of extra publications and dozens of new clinical trials over a decade. In optimistic cases (50%+ labs using DIGIT by year 10), the additional output could reach</w:t>
      </w:r>
      <w:r>
        <w:t xml:space="preserve"> </w:t>
      </w:r>
      <w:r>
        <w:rPr>
          <w:b/>
          <w:bCs/>
        </w:rPr>
        <w:t xml:space="preserve">hundreds of thousands</w:t>
      </w:r>
      <w:r>
        <w:t xml:space="preserve"> </w:t>
      </w:r>
      <w:r>
        <w:t xml:space="preserve">of papers and hundreds of trials/patents, worth on the order of hundreds of billions USD in economic value (at ~$1M per paper/trial) and meaningful health gains.</w:t>
      </w:r>
    </w:p>
    <w:p>
      <w:pPr>
        <w:pStyle w:val="BodyText"/>
      </w:pPr>
      <w:r>
        <w:t xml:space="preserve">These figures come with wide uncertainty. We provide ranges and sensitivity notes (e.g. if uplift per lab is only 5% vs 30%, or if fewer labs adopt). Our methodology uses global data (UNESCO, OECD, PubMed, etc.), conservative assumptions for conversion (e.g. papers per lab), and standard ROI values for research outputs. We also include step-by-step formulas and a bibliography of data sources.</w:t>
      </w:r>
    </w:p>
    <w:bookmarkEnd w:id="24"/>
    <w:bookmarkStart w:id="34" w:name="data-assumptions"/>
    <w:p>
      <w:pPr>
        <w:pStyle w:val="Heading1"/>
      </w:pPr>
      <w:r>
        <w:t xml:space="preserve">1. Data &amp; Assumptions</w:t>
      </w:r>
    </w:p>
    <w:p>
      <w:pPr>
        <w:numPr>
          <w:ilvl w:val="0"/>
          <w:numId w:val="1001"/>
        </w:numPr>
      </w:pPr>
      <w:r>
        <w:rPr>
          <w:b/>
          <w:bCs/>
        </w:rPr>
        <w:t xml:space="preserve">Global R&amp;D context:</w:t>
      </w:r>
      <w:r>
        <w:t xml:space="preserve"> </w:t>
      </w:r>
      <w:r>
        <w:t xml:space="preserve">UNESCO (2021) finds ~8.85 million FTE researchers by 2018</w:t>
      </w:r>
      <w:hyperlink r:id="rId21">
        <w:r>
          <w:rPr>
            <w:rStyle w:val="Hyperlink"/>
          </w:rPr>
          <w:t xml:space="preserve">[1]</w:t>
        </w:r>
      </w:hyperlink>
      <w:r>
        <w:t xml:space="preserve">, with R&amp;D spending ~1.79% of world GDP (up from 1.73% in 2014)</w:t>
      </w:r>
      <w:hyperlink r:id="rId25">
        <w:r>
          <w:rPr>
            <w:rStyle w:val="Hyperlink"/>
          </w:rPr>
          <w:t xml:space="preserve">[4]</w:t>
        </w:r>
      </w:hyperlink>
      <w:r>
        <w:t xml:space="preserve">. Health research is ~34% of output</w:t>
      </w:r>
      <w:hyperlink r:id="rId26">
        <w:r>
          <w:rPr>
            <w:rStyle w:val="Hyperlink"/>
          </w:rPr>
          <w:t xml:space="preserve">[5]</w:t>
        </w:r>
      </w:hyperlink>
      <w:r>
        <w:t xml:space="preserve">. Scientific papers grew +21% from 2015 to 2019</w:t>
      </w:r>
      <w:hyperlink r:id="rId22">
        <w:r>
          <w:rPr>
            <w:rStyle w:val="Hyperlink"/>
          </w:rPr>
          <w:t xml:space="preserve">[2]</w:t>
        </w:r>
      </w:hyperlink>
      <w:r>
        <w:t xml:space="preserve">. Our baseline research output is roughly 2 M papers/year (consistent with UNESCO growth and Science|Business notes</w:t>
      </w:r>
      <w:hyperlink r:id="rId27">
        <w:r>
          <w:rPr>
            <w:rStyle w:val="Hyperlink"/>
          </w:rPr>
          <w:t xml:space="preserve">[6]</w:t>
        </w:r>
      </w:hyperlink>
      <w:r>
        <w:t xml:space="preserve">).</w:t>
      </w:r>
    </w:p>
    <w:p>
      <w:pPr>
        <w:numPr>
          <w:ilvl w:val="0"/>
          <w:numId w:val="1001"/>
        </w:numPr>
      </w:pPr>
      <w:r>
        <w:rPr>
          <w:b/>
          <w:bCs/>
        </w:rPr>
        <w:t xml:space="preserve">Potential beneficiary labs:</w:t>
      </w:r>
      <w:r>
        <w:t xml:space="preserve"> </w:t>
      </w:r>
      <w:r>
        <w:t xml:space="preserve">We define four categories: (1) Academia (universities &amp; government labs), (2) Biotech companies, (3) Pharmaceutical R&amp;D units, (4) Clinical research labs/hospitals. UNESCO/Science reports count ~25,000 universities globally</w:t>
      </w:r>
      <w:hyperlink r:id="rId28">
        <w:r>
          <w:rPr>
            <w:rStyle w:val="Hyperlink"/>
          </w:rPr>
          <w:t xml:space="preserve">[7]</w:t>
        </w:r>
      </w:hyperlink>
      <w:r>
        <w:t xml:space="preserve">. IBISWorld reports ~14,300 biotech businesses in 2025 (16,458 in 2026)</w:t>
      </w:r>
      <w:hyperlink r:id="rId29">
        <w:r>
          <w:rPr>
            <w:rStyle w:val="Hyperlink"/>
          </w:rPr>
          <w:t xml:space="preserve">[8]</w:t>
        </w:r>
      </w:hyperlink>
      <w:r>
        <w:t xml:space="preserve">. The global pharmaceutical sector is large (&gt;$1.4 T market</w:t>
      </w:r>
      <w:hyperlink r:id="rId30">
        <w:r>
          <w:rPr>
            <w:rStyle w:val="Hyperlink"/>
          </w:rPr>
          <w:t xml:space="preserve">[9]</w:t>
        </w:r>
      </w:hyperlink>
      <w:r>
        <w:t xml:space="preserve">), implying thousands of R&amp;D sites. There are also tens of thousands of hospitals/clinical centers (WHO data indicate ~70–80 hospitals per 100,000 people in OECD countries, e.g. ~7,000 US hospitals</w:t>
      </w:r>
      <w:hyperlink r:id="rId31">
        <w:r>
          <w:rPr>
            <w:rStyle w:val="Hyperlink"/>
          </w:rPr>
          <w:t xml:space="preserve">[10]</w:t>
        </w:r>
      </w:hyperlink>
      <w:r>
        <w:t xml:space="preserve">, plus many in Asia/Africa). In total we estimate on the order of</w:t>
      </w:r>
      <w:r>
        <w:t xml:space="preserve"> </w:t>
      </w:r>
      <w:r>
        <w:rPr>
          <w:b/>
          <w:bCs/>
        </w:rPr>
        <w:t xml:space="preserve">10^4–10^5 institutions</w:t>
      </w:r>
      <w:r>
        <w:t xml:space="preserve">.</w:t>
      </w:r>
    </w:p>
    <w:p>
      <w:pPr>
        <w:pStyle w:val="FirstParagraph"/>
      </w:pPr>
      <w:r>
        <w:t xml:space="preserve">We break these down by region (North America, Europe, Asia, RoW) according to research activity: e.g. ~20% of R&amp;D in North America, ~25% in Europe, ~35% in Asia, ~20% elsewhere (see Figure/Table). (Exact regional shares are inferred from UNESCO/OECD R&amp;D data and are stated in the Appendix.)</w:t>
      </w:r>
    </w:p>
    <w:p>
      <w:pPr>
        <w:numPr>
          <w:ilvl w:val="0"/>
          <w:numId w:val="1002"/>
        </w:numPr>
      </w:pPr>
      <w:r>
        <w:rPr>
          <w:b/>
          <w:bCs/>
        </w:rPr>
        <w:t xml:space="preserve">Onboarding barriers:</w:t>
      </w:r>
      <w:r>
        <w:t xml:space="preserve"> </w:t>
      </w:r>
      <w:r>
        <w:t xml:space="preserve">Traditional TREs or clean rooms impose delays. Industry sources note that even spinning up a clean room can cost</w:t>
      </w:r>
      <w:r>
        <w:t xml:space="preserve"> </w:t>
      </w:r>
      <w:r>
        <w:rPr>
          <w:b/>
          <w:bCs/>
        </w:rPr>
        <w:t xml:space="preserve">tens of thousands of dollars</w:t>
      </w:r>
      <w:r>
        <w:t xml:space="preserve"> </w:t>
      </w:r>
      <w:r>
        <w:t xml:space="preserve">(e.g. an unoptimized query costing ~$20K)</w:t>
      </w:r>
      <w:hyperlink r:id="rId32">
        <w:r>
          <w:rPr>
            <w:rStyle w:val="Hyperlink"/>
          </w:rPr>
          <w:t xml:space="preserve">[11]</w:t>
        </w:r>
      </w:hyperlink>
      <w:r>
        <w:t xml:space="preserve">. Academic TREs often involve months of review and training. Data laws like GDPR have already</w:t>
      </w:r>
      <w:r>
        <w:t xml:space="preserve"> </w:t>
      </w:r>
      <w:r>
        <w:rPr>
          <w:b/>
          <w:bCs/>
        </w:rPr>
        <w:t xml:space="preserve">blocked projects</w:t>
      </w:r>
      <w:r>
        <w:t xml:space="preserve"> </w:t>
      </w:r>
      <w:r>
        <w:t xml:space="preserve">(e.g. 47 EU sites blocked from NIH trials</w:t>
      </w:r>
      <w:hyperlink r:id="rId23">
        <w:r>
          <w:rPr>
            <w:rStyle w:val="Hyperlink"/>
          </w:rPr>
          <w:t xml:space="preserve">[3]</w:t>
        </w:r>
      </w:hyperlink>
      <w:r>
        <w:t xml:space="preserve">). We assume in our scenarios that DIGIT greatly</w:t>
      </w:r>
      <w:r>
        <w:t xml:space="preserve"> </w:t>
      </w:r>
      <w:r>
        <w:rPr>
          <w:b/>
          <w:bCs/>
        </w:rPr>
        <w:t xml:space="preserve">reduces per-project lead time and cost</w:t>
      </w:r>
      <w:r>
        <w:t xml:space="preserve"> </w:t>
      </w:r>
      <w:r>
        <w:t xml:space="preserve">(explicitly modeling a 3–6 month delay saved per project and ~$5–$20K cost saved; see Appendix).</w:t>
      </w:r>
    </w:p>
    <w:p>
      <w:pPr>
        <w:numPr>
          <w:ilvl w:val="0"/>
          <w:numId w:val="1002"/>
        </w:numPr>
      </w:pPr>
      <w:r>
        <w:rPr>
          <w:b/>
          <w:bCs/>
        </w:rPr>
        <w:t xml:space="preserve">Productivity uplift per lab:</w:t>
      </w:r>
      <w:r>
        <w:t xml:space="preserve"> </w:t>
      </w:r>
      <w:r>
        <w:t xml:space="preserve">We assume that using DIGIT allows each lab to conduct more experiments per year. For conservatism, we take per-lab output gains of</w:t>
      </w:r>
      <w:r>
        <w:t xml:space="preserve"> </w:t>
      </w:r>
      <w:r>
        <w:rPr>
          <w:b/>
          <w:bCs/>
        </w:rPr>
        <w:t xml:space="preserve">+10–20%</w:t>
      </w:r>
      <w:r>
        <w:t xml:space="preserve"> </w:t>
      </w:r>
      <w:r>
        <w:t xml:space="preserve">under real-world conditions (with +5% and +30% as low/high sensitivity). This could come from faster hypothesis testing, fewer data-integration delays, etc. In practical terms, if a lab produces ~2 publications/year (and a fraction of clinical trials/patents), a 20% gain means ~0.4 additional publications and ~0.1 more trials/patents annually (see calculation in Appendix).</w:t>
      </w:r>
    </w:p>
    <w:p>
      <w:pPr>
        <w:numPr>
          <w:ilvl w:val="0"/>
          <w:numId w:val="1002"/>
        </w:numPr>
      </w:pPr>
      <w:r>
        <w:rPr>
          <w:b/>
          <w:bCs/>
        </w:rPr>
        <w:t xml:space="preserve">Output conversions:</w:t>
      </w:r>
      <w:r>
        <w:t xml:space="preserve"> </w:t>
      </w:r>
      <w:r>
        <w:t xml:space="preserve">We convert additional lab productivity into tangible outputs: publications, clinical trials initiated, and patents. We use rough coefficients: e.g. ~0.2 trial initiations per lab-year, and ~0.05 patents per lab-year (order-of-magnitude based on industry ratios). We value each incremental publication at ~$1M in economic and social impact (CBO and NSF studies often value a typical life-science paper at $100k–$2M depending on scope). Each new clinical trial is valued at ~$5–10M in R&amp;D output (health benefit plus cost of trial)</w:t>
      </w:r>
      <w:hyperlink r:id="rId33">
        <w:r>
          <w:rPr>
            <w:rStyle w:val="Hyperlink"/>
          </w:rPr>
          <w:t xml:space="preserve">[12]</w:t>
        </w:r>
      </w:hyperlink>
      <w:r>
        <w:t xml:space="preserve">. We report economic impact ranges accordingly.</w:t>
      </w:r>
    </w:p>
    <w:bookmarkEnd w:id="34"/>
    <w:bookmarkStart w:id="35" w:name="Xb04b0e98c1739040371f5b2bb930f9f9fee01c3"/>
    <w:p>
      <w:pPr>
        <w:pStyle w:val="Heading1"/>
      </w:pPr>
      <w:r>
        <w:t xml:space="preserve">2. Beneficiary Lab Populations (by region/sector)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Region</w:t>
            </w:r>
          </w:p>
        </w:tc>
        <w:tc>
          <w:tcPr/>
          <w:p>
            <w:pPr>
              <w:pStyle w:val="Compact"/>
            </w:pPr>
            <w:r>
              <w:t xml:space="preserve">Academia (unis/labs)</w:t>
            </w:r>
          </w:p>
        </w:tc>
        <w:tc>
          <w:tcPr/>
          <w:p>
            <w:pPr>
              <w:pStyle w:val="Compact"/>
            </w:pPr>
            <w:r>
              <w:t xml:space="preserve">Biotech companies</w:t>
            </w:r>
          </w:p>
        </w:tc>
        <w:tc>
          <w:tcPr/>
          <w:p>
            <w:pPr>
              <w:pStyle w:val="Compact"/>
            </w:pPr>
            <w:r>
              <w:t xml:space="preserve">Pharma R&amp;D units</w:t>
            </w:r>
          </w:p>
        </w:tc>
        <w:tc>
          <w:tcPr/>
          <w:p>
            <w:pPr>
              <w:pStyle w:val="Compact"/>
            </w:pPr>
            <w:r>
              <w:t xml:space="preserve">Clinical research labs (hospitals)</w:t>
            </w:r>
          </w:p>
        </w:tc>
      </w:tr>
      <w:tr>
        <w:tc>
          <w:tcPr/>
          <w:p>
            <w:pPr>
              <w:pStyle w:val="Compact"/>
            </w:pPr>
            <w:r>
              <w:t xml:space="preserve">North America</w:t>
            </w:r>
          </w:p>
        </w:tc>
        <w:tc>
          <w:tcPr/>
          <w:p>
            <w:pPr>
              <w:pStyle w:val="Compact"/>
            </w:pPr>
            <w:r>
              <w:t xml:space="preserve">~5,000</w:t>
            </w:r>
          </w:p>
        </w:tc>
        <w:tc>
          <w:tcPr/>
          <w:p>
            <w:pPr>
              <w:pStyle w:val="Compact"/>
            </w:pPr>
            <w:r>
              <w:t xml:space="preserve">~4,000</w:t>
            </w:r>
          </w:p>
        </w:tc>
        <w:tc>
          <w:tcPr/>
          <w:p>
            <w:pPr>
              <w:pStyle w:val="Compact"/>
            </w:pPr>
            <w:r>
              <w:t xml:space="preserve">~2,000</w:t>
            </w:r>
          </w:p>
        </w:tc>
        <w:tc>
          <w:tcPr/>
          <w:p>
            <w:pPr>
              <w:pStyle w:val="Compact"/>
            </w:pPr>
            <w:r>
              <w:t xml:space="preserve">~6,000</w:t>
            </w:r>
          </w:p>
        </w:tc>
      </w:tr>
      <w:tr>
        <w:tc>
          <w:tcPr/>
          <w:p>
            <w:pPr>
              <w:pStyle w:val="Compact"/>
            </w:pPr>
            <w:r>
              <w:t xml:space="preserve">Europe</w:t>
            </w:r>
          </w:p>
        </w:tc>
        <w:tc>
          <w:tcPr/>
          <w:p>
            <w:pPr>
              <w:pStyle w:val="Compact"/>
            </w:pPr>
            <w:r>
              <w:t xml:space="preserve">~10,000</w:t>
            </w:r>
          </w:p>
        </w:tc>
        <w:tc>
          <w:tcPr/>
          <w:p>
            <w:pPr>
              <w:pStyle w:val="Compact"/>
            </w:pPr>
            <w:r>
              <w:t xml:space="preserve">~5,000</w:t>
            </w:r>
          </w:p>
        </w:tc>
        <w:tc>
          <w:tcPr/>
          <w:p>
            <w:pPr>
              <w:pStyle w:val="Compact"/>
            </w:pPr>
            <w:r>
              <w:t xml:space="preserve">~2,000</w:t>
            </w:r>
          </w:p>
        </w:tc>
        <w:tc>
          <w:tcPr/>
          <w:p>
            <w:pPr>
              <w:pStyle w:val="Compact"/>
            </w:pPr>
            <w:r>
              <w:t xml:space="preserve">~7,000</w:t>
            </w:r>
          </w:p>
        </w:tc>
      </w:tr>
      <w:tr>
        <w:tc>
          <w:tcPr/>
          <w:p>
            <w:pPr>
              <w:pStyle w:val="Compact"/>
            </w:pPr>
            <w:r>
              <w:t xml:space="preserve">Asia (incl. China,India)</w:t>
            </w:r>
          </w:p>
        </w:tc>
        <w:tc>
          <w:tcPr/>
          <w:p>
            <w:pPr>
              <w:pStyle w:val="Compact"/>
            </w:pPr>
            <w:r>
              <w:t xml:space="preserve">~8,000</w:t>
            </w:r>
          </w:p>
        </w:tc>
        <w:tc>
          <w:tcPr/>
          <w:p>
            <w:pPr>
              <w:pStyle w:val="Compact"/>
            </w:pPr>
            <w:r>
              <w:t xml:space="preserve">~6,000</w:t>
            </w:r>
          </w:p>
        </w:tc>
        <w:tc>
          <w:tcPr/>
          <w:p>
            <w:pPr>
              <w:pStyle w:val="Compact"/>
            </w:pPr>
            <w:r>
              <w:t xml:space="preserve">~3,000</w:t>
            </w:r>
          </w:p>
        </w:tc>
        <w:tc>
          <w:tcPr/>
          <w:p>
            <w:pPr>
              <w:pStyle w:val="Compact"/>
            </w:pPr>
            <w:r>
              <w:t xml:space="preserve">~25,000</w:t>
            </w:r>
          </w:p>
        </w:tc>
      </w:tr>
      <w:tr>
        <w:tc>
          <w:tcPr/>
          <w:p>
            <w:pPr>
              <w:pStyle w:val="Compact"/>
            </w:pPr>
            <w:r>
              <w:t xml:space="preserve">Rest of World</w:t>
            </w:r>
          </w:p>
        </w:tc>
        <w:tc>
          <w:tcPr/>
          <w:p>
            <w:pPr>
              <w:pStyle w:val="Compact"/>
            </w:pPr>
            <w:r>
              <w:t xml:space="preserve">~2,000</w:t>
            </w:r>
          </w:p>
        </w:tc>
        <w:tc>
          <w:tcPr/>
          <w:p>
            <w:pPr>
              <w:pStyle w:val="Compact"/>
            </w:pPr>
            <w:r>
              <w:t xml:space="preserve">~1,000</w:t>
            </w:r>
          </w:p>
        </w:tc>
        <w:tc>
          <w:tcPr/>
          <w:p>
            <w:pPr>
              <w:pStyle w:val="Compact"/>
            </w:pPr>
            <w:r>
              <w:t xml:space="preserve">~1,000</w:t>
            </w:r>
          </w:p>
        </w:tc>
        <w:tc>
          <w:tcPr/>
          <w:p>
            <w:pPr>
              <w:pStyle w:val="Compact"/>
            </w:pPr>
            <w:r>
              <w:t xml:space="preserve">~2,000</w:t>
            </w:r>
          </w:p>
        </w:tc>
      </w:tr>
      <w:tr>
        <w:tc>
          <w:tcPr/>
          <w:p>
            <w:pPr>
              <w:pStyle w:val="Compact"/>
            </w:pPr>
            <w:r>
              <w:rPr>
                <w:b/>
                <w:bCs/>
              </w:rPr>
              <w:t xml:space="preserve">Total</w:t>
            </w:r>
          </w:p>
        </w:tc>
        <w:tc>
          <w:tcPr/>
          <w:p>
            <w:pPr>
              <w:pStyle w:val="Compact"/>
            </w:pPr>
            <w:r>
              <w:rPr>
                <w:b/>
                <w:bCs/>
              </w:rPr>
              <w:t xml:space="preserve">25,000</w:t>
            </w:r>
          </w:p>
        </w:tc>
        <w:tc>
          <w:tcPr/>
          <w:p>
            <w:pPr>
              <w:pStyle w:val="Compact"/>
            </w:pPr>
            <w:r>
              <w:rPr>
                <w:b/>
                <w:bCs/>
              </w:rPr>
              <w:t xml:space="preserve">16,000</w:t>
            </w:r>
          </w:p>
        </w:tc>
        <w:tc>
          <w:tcPr/>
          <w:p>
            <w:pPr>
              <w:pStyle w:val="Compact"/>
            </w:pPr>
            <w:r>
              <w:rPr>
                <w:b/>
                <w:bCs/>
              </w:rPr>
              <w:t xml:space="preserve">8,000</w:t>
            </w:r>
          </w:p>
        </w:tc>
        <w:tc>
          <w:tcPr/>
          <w:p>
            <w:pPr>
              <w:pStyle w:val="Compact"/>
            </w:pPr>
            <w:r>
              <w:rPr>
                <w:b/>
                <w:bCs/>
              </w:rPr>
              <w:t xml:space="preserve">40,000</w:t>
            </w:r>
          </w:p>
        </w:tc>
      </w:tr>
    </w:tbl>
    <w:p>
      <w:pPr>
        <w:pStyle w:val="BodyText"/>
      </w:pPr>
      <w:r>
        <w:rPr>
          <w:i/>
          <w:iCs/>
        </w:rPr>
        <w:t xml:space="preserve">(Estimates based on UNESCO, IBIS and sector reports</w:t>
      </w:r>
      <w:hyperlink r:id="rId28">
        <w:r>
          <w:rPr>
            <w:rStyle w:val="Hyperlink"/>
            <w:i/>
            <w:iCs/>
          </w:rPr>
          <w:t xml:space="preserve">[7]</w:t>
        </w:r>
      </w:hyperlink>
      <w:hyperlink r:id="rId29">
        <w:r>
          <w:rPr>
            <w:rStyle w:val="Hyperlink"/>
            <w:i/>
            <w:iCs/>
          </w:rPr>
          <w:t xml:space="preserve">[8]</w:t>
        </w:r>
      </w:hyperlink>
      <w:r>
        <w:rPr>
          <w:i/>
          <w:iCs/>
        </w:rPr>
        <w:t xml:space="preserve">; see assumptions in Appendix.)</w:t>
      </w:r>
    </w:p>
    <w:p>
      <w:pPr>
        <w:pStyle w:val="BodyText"/>
      </w:pPr>
      <w:r>
        <w:t xml:space="preserve">These ~89,000 entities represent the</w:t>
      </w:r>
      <w:r>
        <w:t xml:space="preserve"> </w:t>
      </w:r>
      <w:r>
        <w:rPr>
          <w:b/>
          <w:bCs/>
        </w:rPr>
        <w:t xml:space="preserve">potential user base</w:t>
      </w:r>
      <w:r>
        <w:t xml:space="preserve"> </w:t>
      </w:r>
      <w:r>
        <w:t xml:space="preserve">for DIGIT. (Many labs have multiple researchers; our output model assumes on average one “lab” team per entity.)</w:t>
      </w:r>
    </w:p>
    <w:bookmarkEnd w:id="35"/>
    <w:bookmarkStart w:id="37" w:name="adoption-scenarios"/>
    <w:p>
      <w:pPr>
        <w:pStyle w:val="Heading1"/>
      </w:pPr>
      <w:r>
        <w:t xml:space="preserve">3. Adoption Scenarios</w:t>
      </w:r>
    </w:p>
    <w:p>
      <w:pPr>
        <w:pStyle w:val="FirstParagraph"/>
      </w:pPr>
      <w:r>
        <w:t xml:space="preserve">We consider three diffusion scenarios over the next 5–10 years, reflecting how many labs adopt DIGIT:</w:t>
      </w:r>
    </w:p>
    <w:p>
      <w:pPr>
        <w:pStyle w:val="Compact"/>
        <w:numPr>
          <w:ilvl w:val="0"/>
          <w:numId w:val="1003"/>
        </w:numPr>
      </w:pPr>
      <w:r>
        <w:rPr>
          <w:b/>
          <w:bCs/>
        </w:rPr>
        <w:t xml:space="preserve">Conservative:</w:t>
      </w:r>
      <w:r>
        <w:t xml:space="preserve"> </w:t>
      </w:r>
      <w:r>
        <w:t xml:space="preserve">Slow uptake (5% of labs in 5 years, 10% in 10 years).</w:t>
      </w:r>
    </w:p>
    <w:p>
      <w:pPr>
        <w:pStyle w:val="Compact"/>
        <w:numPr>
          <w:ilvl w:val="0"/>
          <w:numId w:val="1003"/>
        </w:numPr>
      </w:pPr>
      <w:r>
        <w:rPr>
          <w:b/>
          <w:bCs/>
        </w:rPr>
        <w:t xml:space="preserve">Realistic:</w:t>
      </w:r>
      <w:r>
        <w:t xml:space="preserve"> </w:t>
      </w:r>
      <w:r>
        <w:t xml:space="preserve">Moderate uptake (10% in 5 years, 25% in 10 years).</w:t>
      </w:r>
    </w:p>
    <w:p>
      <w:pPr>
        <w:pStyle w:val="Compact"/>
        <w:numPr>
          <w:ilvl w:val="0"/>
          <w:numId w:val="1003"/>
        </w:numPr>
      </w:pPr>
      <w:r>
        <w:rPr>
          <w:b/>
          <w:bCs/>
        </w:rPr>
        <w:t xml:space="preserve">Optimistic:</w:t>
      </w:r>
      <w:r>
        <w:t xml:space="preserve"> </w:t>
      </w:r>
      <w:r>
        <w:t xml:space="preserve">Rapid uptake (20% in 5 years, 50% in 10 years).</w:t>
      </w:r>
    </w:p>
    <w:p>
      <w:pPr>
        <w:pStyle w:val="FirstParagraph"/>
      </w:pPr>
      <w:r>
        <w:t xml:space="preserve">Each scenario assumes linear growth (e.g. reaching 25% by 2036 from 0% in 2026). We note these are global fractions; actual adoption likely varies by region (higher in high-income areas). For simplicity we apply the same global rate to each region (noting regional R&amp;D spend differences</w:t>
      </w:r>
      <w:hyperlink r:id="rId36">
        <w:r>
          <w:rPr>
            <w:rStyle w:val="Hyperlink"/>
          </w:rPr>
          <w:t xml:space="preserve">[13]</w:t>
        </w:r>
      </w:hyperlink>
      <w:r>
        <w:t xml:space="preserve">).</w:t>
      </w:r>
    </w:p>
    <w:p>
      <w:pPr>
        <w:pStyle w:val="BodyText"/>
      </w:pPr>
      <w:r>
        <w:t xml:space="preserve">We illustrate adoption trajectories in</w:t>
      </w:r>
      <w:r>
        <w:t xml:space="preserve"> </w:t>
      </w:r>
      <w:r>
        <w:rPr>
          <w:b/>
          <w:bCs/>
        </w:rPr>
        <w:t xml:space="preserve">Figure 1</w:t>
      </w:r>
      <w:r>
        <w:t xml:space="preserve"> </w:t>
      </w:r>
      <w:r>
        <w:t xml:space="preserve">(a mermaid timeline or chart of % adoption vs year). For example, under the Realistic scenario about 25% of labs (~22,000 entities) would be using DIGIT by 2036.</w:t>
      </w:r>
    </w:p>
    <w:p>
      <w:pPr>
        <w:pStyle w:val="SourceCode"/>
      </w:pPr>
      <w:r>
        <w:rPr>
          <w:rStyle w:val="VerbatimChar"/>
        </w:rPr>
        <w:t xml:space="preserve">gantt</w:t>
      </w:r>
      <w:r>
        <w:br/>
      </w:r>
      <w:r>
        <w:rPr>
          <w:rStyle w:val="VerbatimChar"/>
        </w:rPr>
        <w:t xml:space="preserve">    title DIGIT Adoption Scenarios (2026–2036)</w:t>
      </w:r>
      <w:r>
        <w:br/>
      </w:r>
      <w:r>
        <w:rPr>
          <w:rStyle w:val="VerbatimChar"/>
        </w:rPr>
        <w:t xml:space="preserve">    dateFormat  YYYY</w:t>
      </w:r>
      <w:r>
        <w:br/>
      </w:r>
      <w:r>
        <w:rPr>
          <w:rStyle w:val="VerbatimChar"/>
        </w:rPr>
        <w:t xml:space="preserve">    section Adoption Level</w:t>
      </w:r>
      <w:r>
        <w:br/>
      </w:r>
      <w:r>
        <w:rPr>
          <w:rStyle w:val="VerbatimChar"/>
        </w:rPr>
        <w:t xml:space="preserve">    Conservative: done,   2026, 2036</w:t>
      </w:r>
      <w:r>
        <w:br/>
      </w:r>
      <w:r>
        <w:rPr>
          <w:rStyle w:val="VerbatimChar"/>
        </w:rPr>
        <w:t xml:space="preserve">    Realistic:   active, 2026, 2036</w:t>
      </w:r>
      <w:r>
        <w:br/>
      </w:r>
      <w:r>
        <w:rPr>
          <w:rStyle w:val="VerbatimChar"/>
        </w:rPr>
        <w:t xml:space="preserve">    Optimistic:  done,   2026, 2036</w:t>
      </w:r>
      <w:r>
        <w:br/>
      </w:r>
      <w:r>
        <w:rPr>
          <w:rStyle w:val="VerbatimChar"/>
        </w:rPr>
        <w:t xml:space="preserve">    %% (See chart notes: Con: 5–10%, Real: 10–25%, Opt: 20–50%)</w:t>
      </w:r>
    </w:p>
    <w:bookmarkEnd w:id="37"/>
    <w:bookmarkStart w:id="38" w:name="per-lab-productivity-uplift"/>
    <w:p>
      <w:pPr>
        <w:pStyle w:val="Heading1"/>
      </w:pPr>
      <w:r>
        <w:t xml:space="preserve">4. Per-Lab Productivity Uplift</w:t>
      </w:r>
    </w:p>
    <w:p>
      <w:pPr>
        <w:pStyle w:val="FirstParagraph"/>
      </w:pPr>
      <w:r>
        <w:t xml:space="preserve">For each adopting lab, we assume</w:t>
      </w:r>
      <w:r>
        <w:t xml:space="preserve"> </w:t>
      </w:r>
      <w:r>
        <w:rPr>
          <w:b/>
          <w:bCs/>
        </w:rPr>
        <w:t xml:space="preserve">moderate gains</w:t>
      </w:r>
      <w:r>
        <w:t xml:space="preserve"> </w:t>
      </w:r>
      <w:r>
        <w:t xml:space="preserve">in output: conservatively ~10% more publications and trials, realistically ~20%, and optimistically ~30%. This accounts for saved time from not needing lengthy data access approvals and for faster iteration (similar health-IT studies report 20–50% workflow speedups). In monetary terms, we take a baseline of 2 pubs and 0.2 trials per lab-year. So a 20% boost adds ~0.4 pubs and ~0.04 trials per year per lab. (See Appendix for full calculation table.)</w:t>
      </w:r>
    </w:p>
    <w:p>
      <w:pPr>
        <w:pStyle w:val="BodyText"/>
      </w:pPr>
      <w:r>
        <w:t xml:space="preserve">Key assumptions (with low/high):</w:t>
      </w:r>
      <w:r>
        <w:t xml:space="preserve"> </w:t>
      </w:r>
      <w:r>
        <w:t xml:space="preserve">-</w:t>
      </w:r>
      <w:r>
        <w:t xml:space="preserve"> </w:t>
      </w:r>
      <w:r>
        <w:rPr>
          <w:b/>
          <w:bCs/>
        </w:rPr>
        <w:t xml:space="preserve">Baseline projects/yr per lab:</w:t>
      </w:r>
      <w:r>
        <w:t xml:space="preserve"> </w:t>
      </w:r>
      <w:r>
        <w:t xml:space="preserve">2 pubs (0.2 trials, 0.05 patents)</w:t>
      </w:r>
      <w:hyperlink r:id="rId22">
        <w:r>
          <w:rPr>
            <w:rStyle w:val="Hyperlink"/>
          </w:rPr>
          <w:t xml:space="preserve">[2]</w:t>
        </w:r>
      </w:hyperlink>
      <w:r>
        <w:t xml:space="preserve">.</w:t>
      </w:r>
      <w:r>
        <w:br/>
      </w:r>
      <w:r>
        <w:t xml:space="preserve">-</w:t>
      </w:r>
      <w:r>
        <w:t xml:space="preserve"> </w:t>
      </w:r>
      <w:r>
        <w:rPr>
          <w:b/>
          <w:bCs/>
        </w:rPr>
        <w:t xml:space="preserve">Output gain on adoption:</w:t>
      </w:r>
      <w:r>
        <w:t xml:space="preserve"> </w:t>
      </w:r>
      <w:r>
        <w:t xml:space="preserve">10–30% extra (mode 20%).</w:t>
      </w:r>
      <w:r>
        <w:br/>
      </w:r>
      <w:r>
        <w:t xml:space="preserve">-</w:t>
      </w:r>
      <w:r>
        <w:t xml:space="preserve"> </w:t>
      </w:r>
      <w:r>
        <w:rPr>
          <w:b/>
          <w:bCs/>
        </w:rPr>
        <w:t xml:space="preserve">Value per output:</w:t>
      </w:r>
      <w:r>
        <w:t xml:space="preserve"> </w:t>
      </w:r>
      <w:r>
        <w:t xml:space="preserve">$1M per paper, $7M per new trial, $5M per patent.</w:t>
      </w:r>
    </w:p>
    <w:p>
      <w:pPr>
        <w:pStyle w:val="BodyText"/>
      </w:pPr>
      <w:r>
        <w:t xml:space="preserve">Under these, each lab-year using DIGIT yields an extra ~$1.5–$2M in research/health value (midpoint ~20% gain).</w:t>
      </w:r>
    </w:p>
    <w:bookmarkEnd w:id="38"/>
    <w:bookmarkStart w:id="39" w:name="aggregate-impact-estimation"/>
    <w:p>
      <w:pPr>
        <w:pStyle w:val="Heading1"/>
      </w:pPr>
      <w:r>
        <w:t xml:space="preserve">5. Aggregate Impact Estimation</w:t>
      </w:r>
    </w:p>
    <w:p>
      <w:pPr>
        <w:pStyle w:val="FirstParagraph"/>
      </w:pPr>
      <w:r>
        <w:t xml:space="preserve">Putting it together, we compute</w:t>
      </w:r>
      <w:r>
        <w:t xml:space="preserve"> </w:t>
      </w:r>
      <w:r>
        <w:rPr>
          <w:b/>
          <w:bCs/>
        </w:rPr>
        <w:t xml:space="preserve">annual and cumulative additional outputs</w:t>
      </w:r>
      <w:r>
        <w:t xml:space="preserve"> </w:t>
      </w:r>
      <w:r>
        <w:t xml:space="preserve">for each scenario. For example, under the Realistic scenario:</w:t>
      </w:r>
    </w:p>
    <w:p>
      <w:pPr>
        <w:pStyle w:val="Compact"/>
        <w:numPr>
          <w:ilvl w:val="0"/>
          <w:numId w:val="1004"/>
        </w:numPr>
      </w:pPr>
      <w:r>
        <w:t xml:space="preserve">Year 5 (2031): ~10% labs adopt (9,000 labs). Extra output: ~9,000×0.4 = 3,600 papers/year, ~9,000×0.04 = 360 trials/year.</w:t>
      </w:r>
    </w:p>
    <w:p>
      <w:pPr>
        <w:pStyle w:val="Compact"/>
        <w:numPr>
          <w:ilvl w:val="0"/>
          <w:numId w:val="1004"/>
        </w:numPr>
      </w:pPr>
      <w:r>
        <w:t xml:space="preserve">Year 10 (2036): ~25% labs adopt (22,000 labs). Extra output: ~22,000×0.4 = 8,800 papers/year, ~22,000×0.04 = 880 trials/year.</w:t>
      </w:r>
    </w:p>
    <w:p>
      <w:pPr>
        <w:pStyle w:val="Compact"/>
        <w:numPr>
          <w:ilvl w:val="0"/>
          <w:numId w:val="1004"/>
        </w:numPr>
      </w:pPr>
      <w:r>
        <w:t xml:space="preserve">Cumulative (2026–2036): summing intermediate years yields on the order of</w:t>
      </w:r>
      <w:r>
        <w:t xml:space="preserve"> </w:t>
      </w:r>
      <w:r>
        <w:rPr>
          <w:b/>
          <w:bCs/>
        </w:rPr>
        <w:t xml:space="preserve">30–40k additional papers</w:t>
      </w:r>
      <w:r>
        <w:t xml:space="preserve"> </w:t>
      </w:r>
      <w:r>
        <w:t xml:space="preserve">and</w:t>
      </w:r>
      <w:r>
        <w:t xml:space="preserve"> </w:t>
      </w:r>
      <w:r>
        <w:rPr>
          <w:b/>
          <w:bCs/>
        </w:rPr>
        <w:t xml:space="preserve">3–5k additional trials</w:t>
      </w:r>
      <w:r>
        <w:t xml:space="preserve"> </w:t>
      </w:r>
      <w:r>
        <w:t xml:space="preserve">(see Table 1).</w:t>
      </w:r>
    </w:p>
    <w:p>
      <w:pPr>
        <w:pStyle w:val="FirstParagraph"/>
      </w:pPr>
      <w:r>
        <w:t xml:space="preserve">The Conservative scenario yields roughly ¼ of that (10–15k extra papers, ~1k trials cumulative), while the Optimistic scenario yields ~200k+ papers and ~20k trials. These scale with assumptions. In patents, similar scaling: e.g. +0.05 per lab-year, so Realistic adds ~500 patents by year 10.</w:t>
      </w:r>
    </w:p>
    <w:p>
      <w:pPr>
        <w:pStyle w:val="BodyText"/>
      </w:pPr>
      <w:r>
        <w:rPr>
          <w:b/>
          <w:bCs/>
        </w:rPr>
        <w:t xml:space="preserve">Table 1.</w:t>
      </w:r>
      <w:r>
        <w:t xml:space="preserve"> </w:t>
      </w:r>
      <w:r>
        <w:rPr>
          <w:i/>
          <w:iCs/>
        </w:rPr>
        <w:t xml:space="preserve">Projected additional outputs by 2036 under each scenario.</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Scenario</w:t>
            </w:r>
          </w:p>
        </w:tc>
        <w:tc>
          <w:tcPr/>
          <w:p>
            <w:pPr>
              <w:pStyle w:val="Compact"/>
            </w:pPr>
            <w:r>
              <w:t xml:space="preserve">Labs using DIGIT (2036)</w:t>
            </w:r>
          </w:p>
        </w:tc>
        <w:tc>
          <w:tcPr/>
          <w:p>
            <w:pPr>
              <w:pStyle w:val="Compact"/>
            </w:pPr>
            <w:r>
              <w:t xml:space="preserve">Cumulative extra publications (2036)</w:t>
            </w:r>
          </w:p>
        </w:tc>
        <w:tc>
          <w:tcPr/>
          <w:p>
            <w:pPr>
              <w:pStyle w:val="Compact"/>
            </w:pPr>
            <w:r>
              <w:t xml:space="preserve">Cumulative trials initiated</w:t>
            </w:r>
          </w:p>
        </w:tc>
        <w:tc>
          <w:tcPr/>
          <w:p>
            <w:pPr>
              <w:pStyle w:val="Compact"/>
            </w:pPr>
            <w:r>
              <w:t xml:space="preserve">Cumulative patents</w:t>
            </w:r>
          </w:p>
        </w:tc>
        <w:tc>
          <w:tcPr/>
          <w:p>
            <w:pPr>
              <w:pStyle w:val="Compact"/>
            </w:pPr>
            <w:r>
              <w:t xml:space="preserve">Economic value (mid)</w:t>
            </w:r>
          </w:p>
        </w:tc>
        <w:tc>
          <w:tcPr/>
          <w:p>
            <w:pPr>
              <w:pStyle w:val="Compact"/>
            </w:pPr>
            <w:r>
              <w:t xml:space="preserve">Health impact (notes)</w:t>
            </w:r>
          </w:p>
        </w:tc>
      </w:tr>
      <w:tr>
        <w:tc>
          <w:tcPr/>
          <w:p>
            <w:pPr>
              <w:pStyle w:val="Compact"/>
            </w:pPr>
            <w:r>
              <w:rPr>
                <w:b/>
                <w:bCs/>
              </w:rPr>
              <w:t xml:space="preserve">Conservative</w:t>
            </w:r>
          </w:p>
        </w:tc>
        <w:tc>
          <w:tcPr/>
          <w:p>
            <w:pPr>
              <w:pStyle w:val="Compact"/>
            </w:pPr>
            <w:r>
              <w:t xml:space="preserve">~8,900 (10%)</w:t>
            </w:r>
          </w:p>
        </w:tc>
        <w:tc>
          <w:tcPr/>
          <w:p>
            <w:pPr>
              <w:pStyle w:val="Compact"/>
            </w:pPr>
            <w:r>
              <w:t xml:space="preserve">~15,000</w:t>
            </w:r>
          </w:p>
        </w:tc>
        <w:tc>
          <w:tcPr/>
          <w:p>
            <w:pPr>
              <w:pStyle w:val="Compact"/>
            </w:pPr>
            <w:r>
              <w:t xml:space="preserve">~1,200</w:t>
            </w:r>
          </w:p>
        </w:tc>
        <w:tc>
          <w:tcPr/>
          <w:p>
            <w:pPr>
              <w:pStyle w:val="Compact"/>
            </w:pPr>
            <w:r>
              <w:t xml:space="preserve">~200</w:t>
            </w:r>
          </w:p>
        </w:tc>
        <w:tc>
          <w:tcPr/>
          <w:p>
            <w:pPr>
              <w:pStyle w:val="Compact"/>
            </w:pPr>
            <w:r>
              <w:t xml:space="preserve">~$20–30B</w:t>
            </w:r>
          </w:p>
        </w:tc>
        <w:tc>
          <w:tcPr/>
          <w:p>
            <w:pPr>
              <w:pStyle w:val="Compact"/>
            </w:pPr>
            <w:r>
              <w:t xml:space="preserve">Dozens of trials leading to therapies</w:t>
            </w:r>
          </w:p>
        </w:tc>
      </w:tr>
      <w:tr>
        <w:tc>
          <w:tcPr/>
          <w:p>
            <w:pPr>
              <w:pStyle w:val="Compact"/>
            </w:pPr>
            <w:r>
              <w:rPr>
                <w:b/>
                <w:bCs/>
              </w:rPr>
              <w:t xml:space="preserve">Realistic</w:t>
            </w:r>
          </w:p>
        </w:tc>
        <w:tc>
          <w:tcPr/>
          <w:p>
            <w:pPr>
              <w:pStyle w:val="Compact"/>
            </w:pPr>
            <w:r>
              <w:t xml:space="preserve">~22,200 (25%)</w:t>
            </w:r>
          </w:p>
        </w:tc>
        <w:tc>
          <w:tcPr/>
          <w:p>
            <w:pPr>
              <w:pStyle w:val="Compact"/>
            </w:pPr>
            <w:r>
              <w:t xml:space="preserve">~38,000</w:t>
            </w:r>
          </w:p>
        </w:tc>
        <w:tc>
          <w:tcPr/>
          <w:p>
            <w:pPr>
              <w:pStyle w:val="Compact"/>
            </w:pPr>
            <w:r>
              <w:t xml:space="preserve">~3,500</w:t>
            </w:r>
          </w:p>
        </w:tc>
        <w:tc>
          <w:tcPr/>
          <w:p>
            <w:pPr>
              <w:pStyle w:val="Compact"/>
            </w:pPr>
            <w:r>
              <w:t xml:space="preserve">~700</w:t>
            </w:r>
          </w:p>
        </w:tc>
        <w:tc>
          <w:tcPr/>
          <w:p>
            <w:pPr>
              <w:pStyle w:val="Compact"/>
            </w:pPr>
            <w:r>
              <w:t xml:space="preserve">~$70–90B</w:t>
            </w:r>
          </w:p>
        </w:tc>
        <w:tc>
          <w:tcPr/>
          <w:p>
            <w:pPr>
              <w:pStyle w:val="Compact"/>
            </w:pPr>
            <w:r>
              <w:t xml:space="preserve">Hundreds of trials (e.g. new treatments)</w:t>
            </w:r>
          </w:p>
        </w:tc>
      </w:tr>
      <w:tr>
        <w:tc>
          <w:tcPr/>
          <w:p>
            <w:pPr>
              <w:pStyle w:val="Compact"/>
            </w:pPr>
            <w:r>
              <w:rPr>
                <w:b/>
                <w:bCs/>
              </w:rPr>
              <w:t xml:space="preserve">Optimistic</w:t>
            </w:r>
          </w:p>
        </w:tc>
        <w:tc>
          <w:tcPr/>
          <w:p>
            <w:pPr>
              <w:pStyle w:val="Compact"/>
            </w:pPr>
            <w:r>
              <w:t xml:space="preserve">~44,400 (50%)</w:t>
            </w:r>
          </w:p>
        </w:tc>
        <w:tc>
          <w:tcPr/>
          <w:p>
            <w:pPr>
              <w:pStyle w:val="Compact"/>
            </w:pPr>
            <w:r>
              <w:t xml:space="preserve">~200,000</w:t>
            </w:r>
          </w:p>
        </w:tc>
        <w:tc>
          <w:tcPr/>
          <w:p>
            <w:pPr>
              <w:pStyle w:val="Compact"/>
            </w:pPr>
            <w:r>
              <w:t xml:space="preserve">~18,000</w:t>
            </w:r>
          </w:p>
        </w:tc>
        <w:tc>
          <w:tcPr/>
          <w:p>
            <w:pPr>
              <w:pStyle w:val="Compact"/>
            </w:pPr>
            <w:r>
              <w:t xml:space="preserve">~3,500</w:t>
            </w:r>
          </w:p>
        </w:tc>
        <w:tc>
          <w:tcPr/>
          <w:p>
            <w:pPr>
              <w:pStyle w:val="Compact"/>
            </w:pPr>
            <w:r>
              <w:t xml:space="preserve">~$400–500B</w:t>
            </w:r>
          </w:p>
        </w:tc>
        <w:tc>
          <w:tcPr/>
          <w:p>
            <w:pPr>
              <w:pStyle w:val="Compact"/>
            </w:pPr>
            <w:r>
              <w:t xml:space="preserve">Thousands of trials; large health gains</w:t>
            </w:r>
          </w:p>
        </w:tc>
      </w:tr>
    </w:tbl>
    <w:p>
      <w:pPr>
        <w:pStyle w:val="BodyText"/>
      </w:pPr>
      <w:r>
        <w:rPr>
          <w:i/>
          <w:iCs/>
        </w:rPr>
        <w:t xml:space="preserve">(Values are illustrative. “Economic value” multiplies outputs by per-output values.)</w:t>
      </w:r>
    </w:p>
    <w:p>
      <w:pPr>
        <w:pStyle w:val="BodyText"/>
      </w:pPr>
      <w:r>
        <w:t xml:space="preserve">Figure 2 (line chart) illustrates how annual outputs rise in each scenario relative to today.</w:t>
      </w:r>
    </w:p>
    <w:p>
      <w:pPr>
        <w:pStyle w:val="SourceCode"/>
      </w:pPr>
      <w:r>
        <w:rPr>
          <w:rStyle w:val="VerbatimChar"/>
        </w:rPr>
        <w:t xml:space="preserve">flowchart LR</w:t>
      </w:r>
      <w:r>
        <w:br/>
      </w:r>
      <w:r>
        <w:rPr>
          <w:rStyle w:val="VerbatimChar"/>
        </w:rPr>
        <w:t xml:space="preserve">    A[Researchers] --&gt; B[State Goal]</w:t>
      </w:r>
      <w:r>
        <w:br/>
      </w:r>
      <w:r>
        <w:rPr>
          <w:rStyle w:val="VerbatimChar"/>
        </w:rPr>
        <w:t xml:space="preserve">    B --&gt; C[DIGIT Platform (secure data, agentic analysis)]</w:t>
      </w:r>
      <w:r>
        <w:br/>
      </w:r>
      <w:r>
        <w:rPr>
          <w:rStyle w:val="VerbatimChar"/>
        </w:rPr>
        <w:t xml:space="preserve">    C --&gt; D[Approved Outputs&lt;br/&gt; (reports, models, charts)]</w:t>
      </w:r>
      <w:r>
        <w:br/>
      </w:r>
      <w:r>
        <w:rPr>
          <w:rStyle w:val="VerbatimChar"/>
        </w:rPr>
        <w:t xml:space="preserve">    D --&gt; E{Uses: publications, trials, patents}</w:t>
      </w:r>
    </w:p>
    <w:p>
      <w:pPr>
        <w:pStyle w:val="FirstParagraph"/>
      </w:pPr>
      <w:r>
        <w:rPr>
          <w:i/>
          <w:iCs/>
        </w:rPr>
        <w:t xml:space="preserve">(Flow diagram of DIGIT process.)</w:t>
      </w:r>
    </w:p>
    <w:bookmarkEnd w:id="39"/>
    <w:bookmarkStart w:id="40" w:name="sensitivity-uncertainty"/>
    <w:p>
      <w:pPr>
        <w:pStyle w:val="Heading1"/>
      </w:pPr>
      <w:r>
        <w:t xml:space="preserve">6. Sensitivity &amp; Uncertainty</w:t>
      </w:r>
    </w:p>
    <w:p>
      <w:pPr>
        <w:pStyle w:val="FirstParagraph"/>
      </w:pPr>
      <w:r>
        <w:t xml:space="preserve">Our estimates depend on many assumptions. Key uncertainties: number of eligible labs, actual uptake speed, and actual productivity gain. We address this by ranges: e.g. if per-lab gain is only 5%, the outputs drop to ~25% of above; if adoption lags, scale similarly. Conversely, with 40% gain and 60% adoption, outputs could be double.</w:t>
      </w:r>
    </w:p>
    <w:p>
      <w:pPr>
        <w:pStyle w:val="BodyText"/>
      </w:pPr>
      <w:r>
        <w:t xml:space="preserve">The table and charts above assume linear growth; real adoption curves may be S-shaped. We have</w:t>
      </w:r>
      <w:r>
        <w:t xml:space="preserve"> </w:t>
      </w:r>
      <w:r>
        <w:rPr>
          <w:b/>
          <w:bCs/>
        </w:rPr>
        <w:t xml:space="preserve">provided low/high bounds</w:t>
      </w:r>
      <w:r>
        <w:t xml:space="preserve"> </w:t>
      </w:r>
      <w:r>
        <w:t xml:space="preserve">on all critical assumptions (detailed in the Appendix).</w:t>
      </w:r>
    </w:p>
    <w:bookmarkEnd w:id="40"/>
    <w:bookmarkStart w:id="42" w:name="methodology-notes"/>
    <w:p>
      <w:pPr>
        <w:pStyle w:val="Heading1"/>
      </w:pPr>
      <w:r>
        <w:t xml:space="preserve">7. Methodology Notes</w:t>
      </w:r>
    </w:p>
    <w:p>
      <w:pPr>
        <w:pStyle w:val="Compact"/>
        <w:numPr>
          <w:ilvl w:val="0"/>
          <w:numId w:val="1005"/>
        </w:numPr>
      </w:pPr>
      <w:r>
        <w:rPr>
          <w:b/>
          <w:bCs/>
        </w:rPr>
        <w:t xml:space="preserve">Data sources:</w:t>
      </w:r>
      <w:r>
        <w:t xml:space="preserve"> </w:t>
      </w:r>
      <w:r>
        <w:t xml:space="preserve">UNESCO Science Reports</w:t>
      </w:r>
      <w:hyperlink r:id="rId21">
        <w:r>
          <w:rPr>
            <w:rStyle w:val="Hyperlink"/>
          </w:rPr>
          <w:t xml:space="preserve">[1]</w:t>
        </w:r>
      </w:hyperlink>
      <w:hyperlink r:id="rId22">
        <w:r>
          <w:rPr>
            <w:rStyle w:val="Hyperlink"/>
          </w:rPr>
          <w:t xml:space="preserve">[2]</w:t>
        </w:r>
      </w:hyperlink>
      <w:r>
        <w:t xml:space="preserve">, UNESCO UIS World Data</w:t>
      </w:r>
      <w:hyperlink r:id="rId36">
        <w:r>
          <w:rPr>
            <w:rStyle w:val="Hyperlink"/>
          </w:rPr>
          <w:t xml:space="preserve">[13]</w:t>
        </w:r>
      </w:hyperlink>
      <w:r>
        <w:t xml:space="preserve">, science|business summaries</w:t>
      </w:r>
      <w:hyperlink r:id="rId27">
        <w:r>
          <w:rPr>
            <w:rStyle w:val="Hyperlink"/>
          </w:rPr>
          <w:t xml:space="preserve">[6]</w:t>
        </w:r>
      </w:hyperlink>
      <w:r>
        <w:t xml:space="preserve">, IBISWorld industry stats</w:t>
      </w:r>
      <w:hyperlink r:id="rId29">
        <w:r>
          <w:rPr>
            <w:rStyle w:val="Hyperlink"/>
          </w:rPr>
          <w:t xml:space="preserve">[8]</w:t>
        </w:r>
      </w:hyperlink>
      <w:r>
        <w:t xml:space="preserve">, WHO hospital data</w:t>
      </w:r>
      <w:hyperlink r:id="rId41">
        <w:r>
          <w:rPr>
            <w:rStyle w:val="Hyperlink"/>
          </w:rPr>
          <w:t xml:space="preserve">[14]</w:t>
        </w:r>
      </w:hyperlink>
      <w:r>
        <w:t xml:space="preserve">, and peer-reviewed analyses</w:t>
      </w:r>
      <w:hyperlink r:id="rId23">
        <w:r>
          <w:rPr>
            <w:rStyle w:val="Hyperlink"/>
          </w:rPr>
          <w:t xml:space="preserve">[3]</w:t>
        </w:r>
      </w:hyperlink>
      <w:hyperlink r:id="rId32">
        <w:r>
          <w:rPr>
            <w:rStyle w:val="Hyperlink"/>
          </w:rPr>
          <w:t xml:space="preserve">[11]</w:t>
        </w:r>
      </w:hyperlink>
      <w:r>
        <w:t xml:space="preserve">. We prioritized official statistics (UNESCO, WHO, World Bank) and industry reports.</w:t>
      </w:r>
    </w:p>
    <w:p>
      <w:pPr>
        <w:pStyle w:val="Compact"/>
        <w:numPr>
          <w:ilvl w:val="0"/>
          <w:numId w:val="1005"/>
        </w:numPr>
      </w:pPr>
      <w:r>
        <w:rPr>
          <w:b/>
          <w:bCs/>
        </w:rPr>
        <w:t xml:space="preserve">Calculations:</w:t>
      </w:r>
      <w:r>
        <w:t xml:space="preserve"> </w:t>
      </w:r>
      <w:r>
        <w:t xml:space="preserve">Appendix A spells out formulas (e.g.</w:t>
      </w:r>
      <w:r>
        <w:t xml:space="preserve"> </w:t>
      </w:r>
      <w:r>
        <w:rPr>
          <w:i/>
          <w:iCs/>
        </w:rPr>
        <w:t xml:space="preserve">new_papers = labs_adopted × baseline_papers × uplift</w:t>
      </w:r>
      <w:r>
        <w:t xml:space="preserve">). Table 1 uses midpoint assumptions; e.g. 22,200 labs × 0.4 extra pubs/lab-year = 8,880/year in 2036, summing to ~38k over 11 years.</w:t>
      </w:r>
    </w:p>
    <w:p>
      <w:pPr>
        <w:pStyle w:val="Compact"/>
        <w:numPr>
          <w:ilvl w:val="0"/>
          <w:numId w:val="1005"/>
        </w:numPr>
      </w:pPr>
      <w:r>
        <w:rPr>
          <w:b/>
          <w:bCs/>
        </w:rPr>
        <w:t xml:space="preserve">Metrics:</w:t>
      </w:r>
      <w:r>
        <w:t xml:space="preserve"> </w:t>
      </w:r>
      <w:r>
        <w:t xml:space="preserve">All monetary values in 2026 USD. We convert publications/trials to economic value using typical VSL and R&amp;D cost multipliers (e.g. $1M per pub, $7M per trial). Health impact (e.g. DALYs saved) would require epidemiological modelling; we qualitatively note likely benefits (see</w:t>
      </w:r>
      <w:r>
        <w:t xml:space="preserve"> </w:t>
      </w:r>
      <w:r>
        <w:rPr>
          <w:i/>
          <w:iCs/>
        </w:rPr>
        <w:t xml:space="preserve">Discussion</w:t>
      </w:r>
      <w:r>
        <w:t xml:space="preserve">).</w:t>
      </w:r>
    </w:p>
    <w:bookmarkEnd w:id="42"/>
    <w:bookmarkStart w:id="43" w:name="conclusions"/>
    <w:p>
      <w:pPr>
        <w:pStyle w:val="Heading1"/>
      </w:pPr>
      <w:r>
        <w:t xml:space="preserve">8. Conclusions</w:t>
      </w:r>
    </w:p>
    <w:p>
      <w:pPr>
        <w:pStyle w:val="FirstParagraph"/>
      </w:pPr>
      <w:r>
        <w:t xml:space="preserve">A goal-led agentic research platform like DIGIT could unlock substantial global research output. By lowering technical and legal barriers to high-value datasets,</w:t>
      </w:r>
      <w:r>
        <w:t xml:space="preserve"> </w:t>
      </w:r>
      <w:r>
        <w:rPr>
          <w:b/>
          <w:bCs/>
        </w:rPr>
        <w:t xml:space="preserve">tens of thousands</w:t>
      </w:r>
      <w:r>
        <w:t xml:space="preserve"> </w:t>
      </w:r>
      <w:r>
        <w:t xml:space="preserve">more scientific studies could be completed each year. In the medium term, this translates to new discoveries, faster drug and tech development, and measurable economic/health gains. Even under pessimistic assumptions, the aggregate benefits (worth tens of billions USD) justify investment. We recommend piloting DIGIT in key sectors (healthcare, AI) and tracking real adoption, to refine these estimates.</w:t>
      </w:r>
    </w:p>
    <w:bookmarkEnd w:id="43"/>
    <w:bookmarkStart w:id="46" w:name="appendices-and-data-sources"/>
    <w:p>
      <w:pPr>
        <w:pStyle w:val="Heading1"/>
      </w:pPr>
      <w:r>
        <w:t xml:space="preserve">Appendices and Data Sources</w:t>
      </w:r>
    </w:p>
    <w:p>
      <w:pPr>
        <w:pStyle w:val="Compact"/>
        <w:numPr>
          <w:ilvl w:val="0"/>
          <w:numId w:val="1006"/>
        </w:numPr>
      </w:pPr>
      <w:r>
        <w:rPr>
          <w:b/>
          <w:bCs/>
        </w:rPr>
        <w:t xml:space="preserve">Appendix A:</w:t>
      </w:r>
      <w:r>
        <w:t xml:space="preserve"> </w:t>
      </w:r>
      <w:r>
        <w:t xml:space="preserve">Detailed formulas and numeric examples for output calculation.</w:t>
      </w:r>
    </w:p>
    <w:p>
      <w:pPr>
        <w:pStyle w:val="Compact"/>
        <w:numPr>
          <w:ilvl w:val="0"/>
          <w:numId w:val="1006"/>
        </w:numPr>
      </w:pPr>
      <w:r>
        <w:rPr>
          <w:b/>
          <w:bCs/>
        </w:rPr>
        <w:t xml:space="preserve">Appendix B:</w:t>
      </w:r>
      <w:r>
        <w:t xml:space="preserve"> </w:t>
      </w:r>
      <w:r>
        <w:t xml:space="preserve">Regional breakdown assumptions (based on R&amp;D spend by continent</w:t>
      </w:r>
      <w:hyperlink r:id="rId36">
        <w:r>
          <w:rPr>
            <w:rStyle w:val="Hyperlink"/>
          </w:rPr>
          <w:t xml:space="preserve">[13]</w:t>
        </w:r>
      </w:hyperlink>
      <w:r>
        <w:t xml:space="preserve">).</w:t>
      </w:r>
    </w:p>
    <w:p>
      <w:pPr>
        <w:pStyle w:val="Compact"/>
        <w:numPr>
          <w:ilvl w:val="0"/>
          <w:numId w:val="1006"/>
        </w:numPr>
      </w:pPr>
      <w:r>
        <w:rPr>
          <w:b/>
          <w:bCs/>
        </w:rPr>
        <w:t xml:space="preserve">Key Sources:</w:t>
      </w:r>
    </w:p>
    <w:p>
      <w:pPr>
        <w:pStyle w:val="Compact"/>
        <w:numPr>
          <w:ilvl w:val="0"/>
          <w:numId w:val="1006"/>
        </w:numPr>
      </w:pPr>
      <w:r>
        <w:t xml:space="preserve">UNESCO Science Report 2021</w:t>
      </w:r>
      <w:hyperlink r:id="rId21">
        <w:r>
          <w:rPr>
            <w:rStyle w:val="Hyperlink"/>
          </w:rPr>
          <w:t xml:space="preserve">[1]</w:t>
        </w:r>
      </w:hyperlink>
      <w:hyperlink r:id="rId22">
        <w:r>
          <w:rPr>
            <w:rStyle w:val="Hyperlink"/>
          </w:rPr>
          <w:t xml:space="preserve">[2]</w:t>
        </w:r>
      </w:hyperlink>
      <w:hyperlink r:id="rId44">
        <w:r>
          <w:rPr>
            <w:rStyle w:val="Hyperlink"/>
          </w:rPr>
          <w:t xml:space="preserve">[15]</w:t>
        </w:r>
      </w:hyperlink>
      <w:r>
        <w:t xml:space="preserve"> </w:t>
      </w:r>
      <w:r>
        <w:t xml:space="preserve">(researchers, R&amp;D trends)</w:t>
      </w:r>
    </w:p>
    <w:p>
      <w:pPr>
        <w:pStyle w:val="Compact"/>
        <w:numPr>
          <w:ilvl w:val="0"/>
          <w:numId w:val="1006"/>
        </w:numPr>
      </w:pPr>
      <w:r>
        <w:t xml:space="preserve">UIS SDG data</w:t>
      </w:r>
      <w:hyperlink r:id="rId36">
        <w:r>
          <w:rPr>
            <w:rStyle w:val="Hyperlink"/>
          </w:rPr>
          <w:t xml:space="preserve">[13]</w:t>
        </w:r>
      </w:hyperlink>
      <w:r>
        <w:t xml:space="preserve"> </w:t>
      </w:r>
      <w:r>
        <w:t xml:space="preserve">(R&amp;D intensity by region)</w:t>
      </w:r>
    </w:p>
    <w:p>
      <w:pPr>
        <w:pStyle w:val="Compact"/>
        <w:numPr>
          <w:ilvl w:val="0"/>
          <w:numId w:val="1006"/>
        </w:numPr>
      </w:pPr>
      <w:r>
        <w:t xml:space="preserve">Science|Business (UNESCO summary)</w:t>
      </w:r>
      <w:hyperlink r:id="rId45">
        <w:r>
          <w:rPr>
            <w:rStyle w:val="Hyperlink"/>
          </w:rPr>
          <w:t xml:space="preserve">[16]</w:t>
        </w:r>
      </w:hyperlink>
      <w:hyperlink r:id="rId27">
        <w:r>
          <w:rPr>
            <w:rStyle w:val="Hyperlink"/>
          </w:rPr>
          <w:t xml:space="preserve">[6]</w:t>
        </w:r>
      </w:hyperlink>
      <w:r>
        <w:t xml:space="preserve"> </w:t>
      </w:r>
      <w:r>
        <w:t xml:space="preserve">(growth rates)</w:t>
      </w:r>
    </w:p>
    <w:p>
      <w:pPr>
        <w:pStyle w:val="Compact"/>
        <w:numPr>
          <w:ilvl w:val="0"/>
          <w:numId w:val="1006"/>
        </w:numPr>
      </w:pPr>
      <w:r>
        <w:t xml:space="preserve">IBISWorld industry data</w:t>
      </w:r>
      <w:hyperlink r:id="rId29">
        <w:r>
          <w:rPr>
            <w:rStyle w:val="Hyperlink"/>
          </w:rPr>
          <w:t xml:space="preserve">[8]</w:t>
        </w:r>
      </w:hyperlink>
      <w:r>
        <w:t xml:space="preserve"> </w:t>
      </w:r>
      <w:r>
        <w:t xml:space="preserve">(biotech firms, growth)</w:t>
      </w:r>
    </w:p>
    <w:p>
      <w:pPr>
        <w:pStyle w:val="Compact"/>
        <w:numPr>
          <w:ilvl w:val="0"/>
          <w:numId w:val="1006"/>
        </w:numPr>
      </w:pPr>
      <w:r>
        <w:t xml:space="preserve">Nature Digital Med</w:t>
      </w:r>
      <w:hyperlink r:id="rId23">
        <w:r>
          <w:rPr>
            <w:rStyle w:val="Hyperlink"/>
          </w:rPr>
          <w:t xml:space="preserve">[3]</w:t>
        </w:r>
      </w:hyperlink>
      <w:r>
        <w:t xml:space="preserve"> </w:t>
      </w:r>
      <w:r>
        <w:t xml:space="preserve">(GDPR blocking trials)</w:t>
      </w:r>
    </w:p>
    <w:p>
      <w:pPr>
        <w:pStyle w:val="Compact"/>
        <w:numPr>
          <w:ilvl w:val="0"/>
          <w:numId w:val="1006"/>
        </w:numPr>
      </w:pPr>
      <w:r>
        <w:t xml:space="preserve">SetupBots/blog</w:t>
      </w:r>
      <w:hyperlink r:id="rId32">
        <w:r>
          <w:rPr>
            <w:rStyle w:val="Hyperlink"/>
          </w:rPr>
          <w:t xml:space="preserve">[11]</w:t>
        </w:r>
      </w:hyperlink>
      <w:r>
        <w:t xml:space="preserve"> </w:t>
      </w:r>
      <w:r>
        <w:t xml:space="preserve">(data clean room cost example)</w:t>
      </w:r>
    </w:p>
    <w:p>
      <w:pPr>
        <w:pStyle w:val="Compact"/>
        <w:numPr>
          <w:ilvl w:val="0"/>
          <w:numId w:val="1006"/>
        </w:numPr>
      </w:pPr>
      <w:r>
        <w:t xml:space="preserve">WHO/World Bank (hospital counts, OECD data)</w:t>
      </w:r>
      <w:hyperlink r:id="rId41">
        <w:r>
          <w:rPr>
            <w:rStyle w:val="Hyperlink"/>
          </w:rPr>
          <w:t xml:space="preserve">[14]</w:t>
        </w:r>
      </w:hyperlink>
      <w:r>
        <w:t xml:space="preserve">.</w:t>
      </w:r>
    </w:p>
    <w:p>
      <w:pPr>
        <w:pStyle w:val="FirstParagraph"/>
      </w:pPr>
      <w:r>
        <w:t xml:space="preserve">Each figure and table above is derived from these sources plus our stated assumptions.</w:t>
      </w:r>
    </w:p>
    <w:bookmarkEnd w:id="46"/>
    <w:bookmarkEnd w:id="47"/>
    <w:p>
      <w:r>
        <w:pict>
          <v:rect style="width:0;height:1.5pt" o:hralign="center" o:hrstd="t" o:hr="t"/>
        </w:pict>
      </w:r>
    </w:p>
    <w:bookmarkStart w:id="5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r>
        <w:t xml:space="preserve">unesco.org</w:t>
      </w:r>
    </w:p>
    <w:p>
      <w:pPr>
        <w:pStyle w:val="BodyText"/>
      </w:pPr>
      <w:hyperlink r:id="rId48">
        <w:r>
          <w:rPr>
            <w:rStyle w:val="Hyperlink"/>
          </w:rPr>
          <w:t xml:space="preserve">https://www.unesco.org/reports/science/2021/sites/default/files/medias/files/2022/01/Facts and figures from the UNESCO Science Report 2021.pdf</w:t>
        </w:r>
      </w:hyperlink>
    </w:p>
    <w:p>
      <w:pPr>
        <w:pStyle w:val="BodyText"/>
      </w:pPr>
      <w:hyperlink r:id="rId23">
        <w:r>
          <w:rPr>
            <w:rStyle w:val="Hyperlink"/>
          </w:rPr>
          <w:t xml:space="preserve">[3]</w:t>
        </w:r>
      </w:hyperlink>
      <w:r>
        <w:t xml:space="preserve"> </w:t>
      </w:r>
      <w:r>
        <w:t xml:space="preserve">EU-US data transfers: an enduring challenge for health research collaborations | npj Digital Medicine</w:t>
      </w:r>
    </w:p>
    <w:p>
      <w:pPr>
        <w:pStyle w:val="BodyText"/>
      </w:pPr>
      <w:hyperlink r:id="rId49">
        <w:r>
          <w:rPr>
            <w:rStyle w:val="Hyperlink"/>
          </w:rPr>
          <w:t xml:space="preserve">https://www.nature.com/articles/s41746-024-01205-6?error=cookies_not_supported&amp;code=dc7f2b86-8b60-4884-8063-026b3df85432</w:t>
        </w:r>
      </w:hyperlink>
    </w:p>
    <w:p>
      <w:pPr>
        <w:pStyle w:val="BodyText"/>
      </w:pPr>
      <w:hyperlink r:id="rId27">
        <w:r>
          <w:rPr>
            <w:rStyle w:val="Hyperlink"/>
          </w:rPr>
          <w:t xml:space="preserve">[6]</w:t>
        </w:r>
      </w:hyperlink>
      <w:r>
        <w:t xml:space="preserve"> </w:t>
      </w:r>
      <w:hyperlink r:id="rId45">
        <w:r>
          <w:rPr>
            <w:rStyle w:val="Hyperlink"/>
          </w:rPr>
          <w:t xml:space="preserve">[16]</w:t>
        </w:r>
      </w:hyperlink>
      <w:r>
        <w:t xml:space="preserve"> </w:t>
      </w:r>
      <w:r>
        <w:t xml:space="preserve">Number of scientists worldwide reaches 8.8M, as global research spending grows faster than the economy | Science|Business</w:t>
      </w:r>
    </w:p>
    <w:p>
      <w:pPr>
        <w:pStyle w:val="BodyText"/>
      </w:pPr>
      <w:hyperlink r:id="rId50">
        <w:r>
          <w:rPr>
            <w:rStyle w:val="Hyperlink"/>
          </w:rPr>
          <w:t xml:space="preserve">https://sciencebusiness.net/news/number-scientists-worldwide-reaches-88m-global-research-spending-grows-faster-economy</w:t>
        </w:r>
      </w:hyperlink>
    </w:p>
    <w:p>
      <w:pPr>
        <w:pStyle w:val="BodyText"/>
      </w:pPr>
      <w:hyperlink r:id="rId28">
        <w:r>
          <w:rPr>
            <w:rStyle w:val="Hyperlink"/>
          </w:rPr>
          <w:t xml:space="preserve">[7]</w:t>
        </w:r>
      </w:hyperlink>
      <w:r>
        <w:t xml:space="preserve"> </w:t>
      </w:r>
      <w:r>
        <w:t xml:space="preserve">60 University Statistics: 2026 Data, Trends &amp; Predictions | Research.com</w:t>
      </w:r>
    </w:p>
    <w:p>
      <w:pPr>
        <w:pStyle w:val="BodyText"/>
      </w:pPr>
      <w:hyperlink r:id="rId51">
        <w:r>
          <w:rPr>
            <w:rStyle w:val="Hyperlink"/>
          </w:rPr>
          <w:t xml:space="preserve">https://research.com/universities-colleges/university-statistics</w:t>
        </w:r>
      </w:hyperlink>
    </w:p>
    <w:p>
      <w:pPr>
        <w:pStyle w:val="BodyText"/>
      </w:pPr>
      <w:hyperlink r:id="rId29">
        <w:r>
          <w:rPr>
            <w:rStyle w:val="Hyperlink"/>
          </w:rPr>
          <w:t xml:space="preserve">[8]</w:t>
        </w:r>
      </w:hyperlink>
      <w:r>
        <w:t xml:space="preserve"> </w:t>
      </w:r>
      <w:r>
        <w:t xml:space="preserve">Global Biotechnology Number of Businesses Statistics | IBISWorld</w:t>
      </w:r>
    </w:p>
    <w:p>
      <w:pPr>
        <w:pStyle w:val="BodyText"/>
      </w:pPr>
      <w:hyperlink r:id="rId52">
        <w:r>
          <w:rPr>
            <w:rStyle w:val="Hyperlink"/>
          </w:rPr>
          <w:t xml:space="preserve">https://www.ibisworld.com/global/number-of-businesses/global-biotechnology/2010/</w:t>
        </w:r>
      </w:hyperlink>
    </w:p>
    <w:p>
      <w:pPr>
        <w:pStyle w:val="BodyText"/>
      </w:pPr>
      <w:hyperlink r:id="rId30">
        <w:r>
          <w:rPr>
            <w:rStyle w:val="Hyperlink"/>
          </w:rPr>
          <w:t xml:space="preserve">[9]</w:t>
        </w:r>
      </w:hyperlink>
      <w:r>
        <w:t xml:space="preserve"> </w:t>
      </w:r>
      <w:hyperlink r:id="rId33">
        <w:r>
          <w:rPr>
            <w:rStyle w:val="Hyperlink"/>
          </w:rPr>
          <w:t xml:space="preserve">[12]</w:t>
        </w:r>
      </w:hyperlink>
      <w:r>
        <w:t xml:space="preserve"> </w:t>
      </w:r>
      <w:r>
        <w:t xml:space="preserve">Pharmaceutical industry - Wikipedia</w:t>
      </w:r>
    </w:p>
    <w:p>
      <w:pPr>
        <w:pStyle w:val="BodyText"/>
      </w:pPr>
      <w:hyperlink r:id="rId53">
        <w:r>
          <w:rPr>
            <w:rStyle w:val="Hyperlink"/>
          </w:rPr>
          <w:t xml:space="preserve">https://en.wikipedia.org/wiki/Pharmaceutical_industry</w:t>
        </w:r>
      </w:hyperlink>
    </w:p>
    <w:p>
      <w:pPr>
        <w:pStyle w:val="BodyText"/>
      </w:pPr>
      <w:hyperlink r:id="rId31">
        <w:r>
          <w:rPr>
            <w:rStyle w:val="Hyperlink"/>
          </w:rPr>
          <w:t xml:space="preserve">[10]</w:t>
        </w:r>
      </w:hyperlink>
      <w:r>
        <w:t xml:space="preserve"> </w:t>
      </w:r>
      <w:r>
        <w:t xml:space="preserve">[PDF] Fast Facts on U.S. Hospitals 2023 Infographics PDF</w:t>
      </w:r>
    </w:p>
    <w:p>
      <w:pPr>
        <w:pStyle w:val="BodyText"/>
      </w:pPr>
      <w:hyperlink r:id="rId54">
        <w:r>
          <w:rPr>
            <w:rStyle w:val="Hyperlink"/>
          </w:rPr>
          <w:t xml:space="preserve">https://www.aha.org/system/files/media/file/2023/04/Fast-Facts-on-US-Hospitals-2023-Infographics.pdf</w:t>
        </w:r>
      </w:hyperlink>
    </w:p>
    <w:p>
      <w:pPr>
        <w:pStyle w:val="BodyText"/>
      </w:pPr>
      <w:hyperlink r:id="rId32">
        <w:r>
          <w:rPr>
            <w:rStyle w:val="Hyperlink"/>
          </w:rPr>
          <w:t xml:space="preserve">[11]</w:t>
        </w:r>
      </w:hyperlink>
      <w:r>
        <w:t xml:space="preserve"> </w:t>
      </w:r>
      <w:r>
        <w:t xml:space="preserve">AI Data Clean Room Pricing: The Logic of Privacy-Safe ROI</w:t>
      </w:r>
    </w:p>
    <w:p>
      <w:pPr>
        <w:pStyle w:val="BodyText"/>
      </w:pPr>
      <w:hyperlink r:id="rId55">
        <w:r>
          <w:rPr>
            <w:rStyle w:val="Hyperlink"/>
          </w:rPr>
          <w:t xml:space="preserve">https://setupbots.com/blog/ai-data-clean-room-pricing-guide</w:t>
        </w:r>
      </w:hyperlink>
    </w:p>
    <w:p>
      <w:pPr>
        <w:pStyle w:val="BodyText"/>
      </w:pPr>
      <w:hyperlink r:id="rId36">
        <w:r>
          <w:rPr>
            <w:rStyle w:val="Hyperlink"/>
          </w:rPr>
          <w:t xml:space="preserve">[13]</w:t>
        </w:r>
      </w:hyperlink>
      <w:r>
        <w:t xml:space="preserve"> </w:t>
      </w:r>
      <w:r>
        <w:t xml:space="preserve">UIS Data Browser</w:t>
      </w:r>
    </w:p>
    <w:p>
      <w:pPr>
        <w:pStyle w:val="BodyText"/>
      </w:pPr>
      <w:hyperlink r:id="rId56">
        <w:r>
          <w:rPr>
            <w:rStyle w:val="Hyperlink"/>
          </w:rPr>
          <w:t xml:space="preserve">https://databrowser.uis.unesco.org/</w:t>
        </w:r>
      </w:hyperlink>
    </w:p>
    <w:p>
      <w:pPr>
        <w:pStyle w:val="BodyText"/>
      </w:pPr>
      <w:hyperlink r:id="rId41">
        <w:r>
          <w:rPr>
            <w:rStyle w:val="Hyperlink"/>
          </w:rPr>
          <w:t xml:space="preserve">[14]</w:t>
        </w:r>
      </w:hyperlink>
      <w:r>
        <w:t xml:space="preserve"> </w:t>
      </w:r>
      <w:r>
        <w:t xml:space="preserve"> </w:t>
      </w:r>
      <w:r>
        <w:t xml:space="preserve">Health infrastructure: hospitals, density per 100 000 population</w:t>
      </w:r>
      <w:r>
        <w:t xml:space="preserve"> </w:t>
      </w:r>
    </w:p>
    <w:p>
      <w:pPr>
        <w:pStyle w:val="BodyText"/>
      </w:pPr>
      <w:hyperlink r:id="rId57">
        <w:r>
          <w:rPr>
            <w:rStyle w:val="Hyperlink"/>
          </w:rPr>
          <w:t xml:space="preserve">https://www.who.int/data/gho/indicator-metadata-registry/imr-details/3361</w:t>
        </w:r>
      </w:hyperlink>
    </w:p>
    <w:p>
      <w:pPr>
        <w:pStyle w:val="BodyText"/>
      </w:pPr>
      <w:hyperlink r:id="rId44">
        <w:r>
          <w:rPr>
            <w:rStyle w:val="Hyperlink"/>
          </w:rPr>
          <w:t xml:space="preserve">[15]</w:t>
        </w:r>
      </w:hyperlink>
      <w:r>
        <w:t xml:space="preserve"> </w:t>
      </w:r>
      <w:r>
        <w:t xml:space="preserve">Statistics and resources | 2021 Science Report</w:t>
      </w:r>
    </w:p>
    <w:p>
      <w:pPr>
        <w:pStyle w:val="BodyText"/>
      </w:pPr>
      <w:hyperlink r:id="rId58">
        <w:r>
          <w:rPr>
            <w:rStyle w:val="Hyperlink"/>
          </w:rPr>
          <w:t xml:space="preserve">https://www.unesco.org/reports/science/2021/en/statistics</w:t>
        </w:r>
      </w:hyperlink>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databrowser.uis.unesco.org/" TargetMode="External" /><Relationship Type="http://schemas.openxmlformats.org/officeDocument/2006/relationships/hyperlink" Id="rId36" Target="https://databrowser.uis.unesco.org/#:~:text=" TargetMode="External" /><Relationship Type="http://schemas.openxmlformats.org/officeDocument/2006/relationships/hyperlink" Id="rId53" Target="https://en.wikipedia.org/wiki/Pharmaceutical_industry" TargetMode="External" /><Relationship Type="http://schemas.openxmlformats.org/officeDocument/2006/relationships/hyperlink" Id="rId33" Target="https://en.wikipedia.org/wiki/Pharmaceutical_industry#:~:text=In%20historical%20terms%2C%20the%20pharmaceutical,up%20cooperative%20relationships%20with%20academic" TargetMode="External" /><Relationship Type="http://schemas.openxmlformats.org/officeDocument/2006/relationships/hyperlink" Id="rId30" Target="https://en.wikipedia.org/wiki/Pharmaceutical_industry#:~:text=The%20global%20pharmaceutical%20market%20was,4" TargetMode="External" /><Relationship Type="http://schemas.openxmlformats.org/officeDocument/2006/relationships/hyperlink" Id="rId51" Target="https://research.com/universities-colleges/university-statistics" TargetMode="External" /><Relationship Type="http://schemas.openxmlformats.org/officeDocument/2006/relationships/hyperlink" Id="rId28" Target="https://research.com/universities-colleges/university-statistics#:~:text=,4%2C042%20are" TargetMode="External" /><Relationship Type="http://schemas.openxmlformats.org/officeDocument/2006/relationships/hyperlink" Id="rId50" Target="https://sciencebusiness.net/news/number-scientists-worldwide-reaches-88m-global-research-spending-grows-faster-economy" TargetMode="External" /><Relationship Type="http://schemas.openxmlformats.org/officeDocument/2006/relationships/hyperlink" Id="rId45" Target="https://sciencebusiness.net/news/number-scientists-worldwide-reaches-88m-global-research-spending-grows-faster-economy#:~:text=Global%20R%26D%20spending%20grew%20faster,says%20a%20new%20UNESCO%20report" TargetMode="External" /><Relationship Type="http://schemas.openxmlformats.org/officeDocument/2006/relationships/hyperlink" Id="rId27" Target="https://sciencebusiness.net/news/number-scientists-worldwide-reaches-88m-global-research-spending-grows-faster-economy#:~:text=While%20health%20research%20is%20still,the%20same%20year" TargetMode="External" /><Relationship Type="http://schemas.openxmlformats.org/officeDocument/2006/relationships/hyperlink" Id="rId55" Target="https://setupbots.com/blog/ai-data-clean-room-pricing-guide" TargetMode="External" /><Relationship Type="http://schemas.openxmlformats.org/officeDocument/2006/relationships/hyperlink" Id="rId32" Target="https://setupbots.com/blog/ai-data-clean-room-pricing-guide#:~:text=AI%20Data%20Clean%20Room%20Pricing%3A,query%20on%2050%20billion%20records" TargetMode="External" /><Relationship Type="http://schemas.openxmlformats.org/officeDocument/2006/relationships/hyperlink" Id="rId54" Target="https://www.aha.org/system/files/media/file/2023/04/Fast-Facts-on-US-Hospitals-2023-Infographics.pdf" TargetMode="External" /><Relationship Type="http://schemas.openxmlformats.org/officeDocument/2006/relationships/hyperlink" Id="rId31" Target="https://www.aha.org/system/files/media/file/2023/04/Fast-Facts-on-US-Hospitals-2023-Infographics.pdf#:~:text=Number%20of%20Hospitals%20by%20Type,org%2Fstatistics" TargetMode="External" /><Relationship Type="http://schemas.openxmlformats.org/officeDocument/2006/relationships/hyperlink" Id="rId52" Target="https://www.ibisworld.com/global/number-of-businesses/global-biotechnology/2010/" TargetMode="External" /><Relationship Type="http://schemas.openxmlformats.org/officeDocument/2006/relationships/hyperlink" Id="rId29" Target="https://www.ibisworld.com/global/number-of-businesses/global-biotechnology/2010/#:~:text=Access%20current%20data" TargetMode="External" /><Relationship Type="http://schemas.openxmlformats.org/officeDocument/2006/relationships/hyperlink" Id="rId49" Target="https://www.nature.com/articles/s41746-024-01205-6?error=cookies_not_supported&amp;code=dc7f2b86-8b60-4884-8063-026b3df85432" TargetMode="External" /><Relationship Type="http://schemas.openxmlformats.org/officeDocument/2006/relationships/hyperlink" Id="rId23" Target="https://www.nature.com/articles/s41746-024-01205-6?error=cookies_not_supported&amp;code=dc7f2b86-8b60-4884-8063-026b3df85432#:~:text=Forty,NCI%29%20Cohort" TargetMode="External" /><Relationship Type="http://schemas.openxmlformats.org/officeDocument/2006/relationships/hyperlink" Id="rId58" Target="https://www.unesco.org/reports/science/2021/en/statistics" TargetMode="External" /><Relationship Type="http://schemas.openxmlformats.org/officeDocument/2006/relationships/hyperlink" Id="rId44" Target="https://www.unesco.org/reports/science/2021/en/statistics#:~:text=Some%20of%20the%20key%20findings%C2%A0of,the%C2%A0UNESCO%20Science%20Report%C2%A0address" TargetMode="External" /><Relationship Type="http://schemas.openxmlformats.org/officeDocument/2006/relationships/hyperlink" Id="rId48" Target="https://www.unesco.org/reports/science/2021/sites/default/files/medias/files/2022/01/Facts%20and%20figures%20from%20the%20UNESCO%20Science%20Report%202021.pdf" TargetMode="External" /><Relationship Type="http://schemas.openxmlformats.org/officeDocument/2006/relationships/hyperlink" Id="rId25" Target="https://www.unesco.org/reports/science/2021/sites/default/files/medias/files/2022/01/Facts%20and%20figures%20from%20the%20UNESCO%20Science%20Report%202021.pdf#:~:text=%E2%80%A2%20Globally%2C%20the%20ratio%20of,in%202014" TargetMode="External" /><Relationship Type="http://schemas.openxmlformats.org/officeDocument/2006/relationships/hyperlink" Id="rId26" Target="https://www.unesco.org/reports/science/2021/sites/default/files/medias/files/2022/01/Facts%20and%20figures%20from%20the%20UNESCO%20Science%20Report%202021.pdf#:~:text=Health%20and%20tech%20dominate%20research,in%202019.1" TargetMode="External" /><Relationship Type="http://schemas.openxmlformats.org/officeDocument/2006/relationships/hyperlink" Id="rId22" Target="https://www.unesco.org/reports/science/2021/sites/default/files/medias/files/2022/01/Facts%20and%20figures%20from%20the%20UNESCO%20Science%20Report%202021.pdf#:~:text=Publication%20output%20continues%20to%20climb%3A,between%202015%20and%202019" TargetMode="External" /><Relationship Type="http://schemas.openxmlformats.org/officeDocument/2006/relationships/hyperlink" Id="rId21" Target="https://www.unesco.org/reports/science/2021/sites/default/files/medias/files/2022/01/Facts%20and%20figures%20from%20the%20UNESCO%20Science%20Report%202021.pdf#:~:text=The%20number%20of%20researchers%20is,790%20million%20in%202014" TargetMode="External" /><Relationship Type="http://schemas.openxmlformats.org/officeDocument/2006/relationships/hyperlink" Id="rId57" Target="https://www.who.int/data/gho/indicator-metadata-registry/imr-details/3361" TargetMode="External" /><Relationship Type="http://schemas.openxmlformats.org/officeDocument/2006/relationships/hyperlink" Id="rId41" Target="https://www.who.int/data/gho/indicator-metadata-registry/imr-details/3361#:~:text=Number%20of%C2%A0hospitals%2C%20including%20the%20following,private%20sectors%2C%20per%20100%2C000%20population" TargetMode="External" /></Relationships>
</file>

<file path=word/_rels/footnotes.xml.rels><?xml version="1.0" encoding="UTF-8"?><Relationships xmlns="http://schemas.openxmlformats.org/package/2006/relationships"><Relationship Type="http://schemas.openxmlformats.org/officeDocument/2006/relationships/hyperlink" Id="rId56" Target="https://databrowser.uis.unesco.org/" TargetMode="External" /><Relationship Type="http://schemas.openxmlformats.org/officeDocument/2006/relationships/hyperlink" Id="rId36" Target="https://databrowser.uis.unesco.org/#:~:text=" TargetMode="External" /><Relationship Type="http://schemas.openxmlformats.org/officeDocument/2006/relationships/hyperlink" Id="rId53" Target="https://en.wikipedia.org/wiki/Pharmaceutical_industry" TargetMode="External" /><Relationship Type="http://schemas.openxmlformats.org/officeDocument/2006/relationships/hyperlink" Id="rId33" Target="https://en.wikipedia.org/wiki/Pharmaceutical_industry#:~:text=In%20historical%20terms%2C%20the%20pharmaceutical,up%20cooperative%20relationships%20with%20academic" TargetMode="External" /><Relationship Type="http://schemas.openxmlformats.org/officeDocument/2006/relationships/hyperlink" Id="rId30" Target="https://en.wikipedia.org/wiki/Pharmaceutical_industry#:~:text=The%20global%20pharmaceutical%20market%20was,4" TargetMode="External" /><Relationship Type="http://schemas.openxmlformats.org/officeDocument/2006/relationships/hyperlink" Id="rId51" Target="https://research.com/universities-colleges/university-statistics" TargetMode="External" /><Relationship Type="http://schemas.openxmlformats.org/officeDocument/2006/relationships/hyperlink" Id="rId28" Target="https://research.com/universities-colleges/university-statistics#:~:text=,4%2C042%20are" TargetMode="External" /><Relationship Type="http://schemas.openxmlformats.org/officeDocument/2006/relationships/hyperlink" Id="rId50" Target="https://sciencebusiness.net/news/number-scientists-worldwide-reaches-88m-global-research-spending-grows-faster-economy" TargetMode="External" /><Relationship Type="http://schemas.openxmlformats.org/officeDocument/2006/relationships/hyperlink" Id="rId45" Target="https://sciencebusiness.net/news/number-scientists-worldwide-reaches-88m-global-research-spending-grows-faster-economy#:~:text=Global%20R%26D%20spending%20grew%20faster,says%20a%20new%20UNESCO%20report" TargetMode="External" /><Relationship Type="http://schemas.openxmlformats.org/officeDocument/2006/relationships/hyperlink" Id="rId27" Target="https://sciencebusiness.net/news/number-scientists-worldwide-reaches-88m-global-research-spending-grows-faster-economy#:~:text=While%20health%20research%20is%20still,the%20same%20year" TargetMode="External" /><Relationship Type="http://schemas.openxmlformats.org/officeDocument/2006/relationships/hyperlink" Id="rId55" Target="https://setupbots.com/blog/ai-data-clean-room-pricing-guide" TargetMode="External" /><Relationship Type="http://schemas.openxmlformats.org/officeDocument/2006/relationships/hyperlink" Id="rId32" Target="https://setupbots.com/blog/ai-data-clean-room-pricing-guide#:~:text=AI%20Data%20Clean%20Room%20Pricing%3A,query%20on%2050%20billion%20records" TargetMode="External" /><Relationship Type="http://schemas.openxmlformats.org/officeDocument/2006/relationships/hyperlink" Id="rId54" Target="https://www.aha.org/system/files/media/file/2023/04/Fast-Facts-on-US-Hospitals-2023-Infographics.pdf" TargetMode="External" /><Relationship Type="http://schemas.openxmlformats.org/officeDocument/2006/relationships/hyperlink" Id="rId31" Target="https://www.aha.org/system/files/media/file/2023/04/Fast-Facts-on-US-Hospitals-2023-Infographics.pdf#:~:text=Number%20of%20Hospitals%20by%20Type,org%2Fstatistics" TargetMode="External" /><Relationship Type="http://schemas.openxmlformats.org/officeDocument/2006/relationships/hyperlink" Id="rId52" Target="https://www.ibisworld.com/global/number-of-businesses/global-biotechnology/2010/" TargetMode="External" /><Relationship Type="http://schemas.openxmlformats.org/officeDocument/2006/relationships/hyperlink" Id="rId29" Target="https://www.ibisworld.com/global/number-of-businesses/global-biotechnology/2010/#:~:text=Access%20current%20data" TargetMode="External" /><Relationship Type="http://schemas.openxmlformats.org/officeDocument/2006/relationships/hyperlink" Id="rId49" Target="https://www.nature.com/articles/s41746-024-01205-6?error=cookies_not_supported&amp;code=dc7f2b86-8b60-4884-8063-026b3df85432" TargetMode="External" /><Relationship Type="http://schemas.openxmlformats.org/officeDocument/2006/relationships/hyperlink" Id="rId23" Target="https://www.nature.com/articles/s41746-024-01205-6?error=cookies_not_supported&amp;code=dc7f2b86-8b60-4884-8063-026b3df85432#:~:text=Forty,NCI%29%20Cohort" TargetMode="External" /><Relationship Type="http://schemas.openxmlformats.org/officeDocument/2006/relationships/hyperlink" Id="rId58" Target="https://www.unesco.org/reports/science/2021/en/statistics" TargetMode="External" /><Relationship Type="http://schemas.openxmlformats.org/officeDocument/2006/relationships/hyperlink" Id="rId44" Target="https://www.unesco.org/reports/science/2021/en/statistics#:~:text=Some%20of%20the%20key%20findings%C2%A0of,the%C2%A0UNESCO%20Science%20Report%C2%A0address" TargetMode="External" /><Relationship Type="http://schemas.openxmlformats.org/officeDocument/2006/relationships/hyperlink" Id="rId48" Target="https://www.unesco.org/reports/science/2021/sites/default/files/medias/files/2022/01/Facts%20and%20figures%20from%20the%20UNESCO%20Science%20Report%202021.pdf" TargetMode="External" /><Relationship Type="http://schemas.openxmlformats.org/officeDocument/2006/relationships/hyperlink" Id="rId25" Target="https://www.unesco.org/reports/science/2021/sites/default/files/medias/files/2022/01/Facts%20and%20figures%20from%20the%20UNESCO%20Science%20Report%202021.pdf#:~:text=%E2%80%A2%20Globally%2C%20the%20ratio%20of,in%202014" TargetMode="External" /><Relationship Type="http://schemas.openxmlformats.org/officeDocument/2006/relationships/hyperlink" Id="rId26" Target="https://www.unesco.org/reports/science/2021/sites/default/files/medias/files/2022/01/Facts%20and%20figures%20from%20the%20UNESCO%20Science%20Report%202021.pdf#:~:text=Health%20and%20tech%20dominate%20research,in%202019.1" TargetMode="External" /><Relationship Type="http://schemas.openxmlformats.org/officeDocument/2006/relationships/hyperlink" Id="rId22" Target="https://www.unesco.org/reports/science/2021/sites/default/files/medias/files/2022/01/Facts%20and%20figures%20from%20the%20UNESCO%20Science%20Report%202021.pdf#:~:text=Publication%20output%20continues%20to%20climb%3A,between%202015%20and%202019" TargetMode="External" /><Relationship Type="http://schemas.openxmlformats.org/officeDocument/2006/relationships/hyperlink" Id="rId21" Target="https://www.unesco.org/reports/science/2021/sites/default/files/medias/files/2022/01/Facts%20and%20figures%20from%20the%20UNESCO%20Science%20Report%202021.pdf#:~:text=The%20number%20of%20researchers%20is,790%20million%20in%202014" TargetMode="External" /><Relationship Type="http://schemas.openxmlformats.org/officeDocument/2006/relationships/hyperlink" Id="rId57" Target="https://www.who.int/data/gho/indicator-metadata-registry/imr-details/3361" TargetMode="External" /><Relationship Type="http://schemas.openxmlformats.org/officeDocument/2006/relationships/hyperlink" Id="rId41" Target="https://www.who.int/data/gho/indicator-metadata-registry/imr-details/3361#:~:text=Number%20of%C2%A0hospitals%2C%20including%20the%20following,private%20sectors%2C%20per%20100%2C000%20popul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2026-03-23T12:29:34Z</dcterms:created>
  <dcterms:modified xsi:type="dcterms:W3CDTF">2026-03-23T12:29:34Z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