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23EF4" w14:textId="7A9B48CB" w:rsidR="00153D5B" w:rsidRDefault="00020ED5">
      <w:pPr>
        <w:rPr>
          <w:rFonts w:ascii="docs-Roboto" w:hAnsi="docs-Roboto"/>
          <w:color w:val="1F1F1F"/>
          <w:sz w:val="48"/>
          <w:szCs w:val="48"/>
          <w:shd w:val="clear" w:color="auto" w:fill="FFFFFF"/>
        </w:rPr>
      </w:pPr>
      <w:r>
        <w:rPr>
          <w:rFonts w:ascii="docs-Roboto" w:hAnsi="docs-Roboto"/>
          <w:color w:val="1F1F1F"/>
          <w:sz w:val="48"/>
          <w:szCs w:val="48"/>
          <w:shd w:val="clear" w:color="auto" w:fill="FFFFFF"/>
        </w:rPr>
        <w:t xml:space="preserve">Práctica de laboratorio </w:t>
      </w:r>
      <w:r>
        <w:rPr>
          <w:rFonts w:ascii="docs-Roboto" w:hAnsi="docs-Roboto"/>
          <w:color w:val="1F1F1F"/>
          <w:sz w:val="48"/>
          <w:szCs w:val="48"/>
          <w:shd w:val="clear" w:color="auto" w:fill="FFFFFF"/>
        </w:rPr>
        <w:t>1</w:t>
      </w:r>
    </w:p>
    <w:p w14:paraId="324494A0" w14:textId="0C0681CA" w:rsidR="00020ED5" w:rsidRDefault="00020ED5">
      <w:pPr>
        <w:rPr>
          <w:rFonts w:ascii="docs-Roboto" w:hAnsi="docs-Roboto"/>
          <w:color w:val="1F1F1F"/>
          <w:sz w:val="48"/>
          <w:szCs w:val="48"/>
          <w:shd w:val="clear" w:color="auto" w:fill="FFFFFF"/>
        </w:rPr>
      </w:pPr>
    </w:p>
    <w:p w14:paraId="2912F06D" w14:textId="77777777" w:rsidR="00020ED5" w:rsidRPr="00020ED5" w:rsidRDefault="00020ED5" w:rsidP="00020ED5">
      <w:pPr>
        <w:rPr>
          <w:b/>
          <w:bCs/>
          <w:sz w:val="28"/>
          <w:szCs w:val="28"/>
          <w:lang w:eastAsia="es-ES"/>
        </w:rPr>
      </w:pPr>
      <w:r w:rsidRPr="00020ED5">
        <w:rPr>
          <w:b/>
          <w:bCs/>
          <w:sz w:val="28"/>
          <w:szCs w:val="28"/>
          <w:lang w:eastAsia="es-ES"/>
        </w:rPr>
        <w:t>Metodologías de Pruebas de Penetración</w:t>
      </w:r>
    </w:p>
    <w:p w14:paraId="569E5878" w14:textId="45AB5D43" w:rsidR="00020ED5" w:rsidRDefault="00020ED5" w:rsidP="00020ED5">
      <w:pPr>
        <w:rPr>
          <w:sz w:val="24"/>
          <w:szCs w:val="24"/>
          <w:lang w:eastAsia="es-ES"/>
        </w:rPr>
      </w:pPr>
      <w:r w:rsidRPr="00020ED5">
        <w:rPr>
          <w:sz w:val="24"/>
          <w:szCs w:val="24"/>
          <w:lang w:eastAsia="es-ES"/>
        </w:rPr>
        <w:t>Las metodologías de pruebas de penetración son marcos estructurados que guían la identificación, análisis y explotación controlada de vulnerabilidades en sistemas informáticos. Su objetivo principal es simular ataques reales para evaluar el nivel de seguridad de una organización. Entre las metodologías más utilizadas destacan OSSTMM, OWASP, NIST y PTES.</w:t>
      </w:r>
    </w:p>
    <w:p w14:paraId="18451E06" w14:textId="102443E7" w:rsidR="00020ED5" w:rsidRPr="00020ED5" w:rsidRDefault="00020ED5" w:rsidP="00020ED5">
      <w:pPr>
        <w:rPr>
          <w:b/>
          <w:bCs/>
          <w:sz w:val="32"/>
          <w:szCs w:val="32"/>
          <w:lang w:eastAsia="es-ES"/>
        </w:rPr>
      </w:pPr>
      <w:r w:rsidRPr="00020ED5">
        <w:rPr>
          <w:b/>
          <w:bCs/>
          <w:sz w:val="28"/>
          <w:szCs w:val="28"/>
        </w:rPr>
        <w:t>Cuadro Comparativo</w:t>
      </w:r>
    </w:p>
    <w:tbl>
      <w:tblPr>
        <w:tblStyle w:val="Tablaconcuadrcula"/>
        <w:tblW w:w="0" w:type="auto"/>
        <w:tblLook w:val="04A0" w:firstRow="1" w:lastRow="0" w:firstColumn="1" w:lastColumn="0" w:noHBand="0" w:noVBand="1"/>
      </w:tblPr>
      <w:tblGrid>
        <w:gridCol w:w="1531"/>
        <w:gridCol w:w="1605"/>
        <w:gridCol w:w="2170"/>
        <w:gridCol w:w="1581"/>
        <w:gridCol w:w="1607"/>
      </w:tblGrid>
      <w:tr w:rsidR="00020ED5" w:rsidRPr="00020ED5" w14:paraId="5AEA9F96" w14:textId="77777777" w:rsidTr="00020ED5">
        <w:tc>
          <w:tcPr>
            <w:tcW w:w="0" w:type="auto"/>
            <w:hideMark/>
          </w:tcPr>
          <w:p w14:paraId="3F36DB11" w14:textId="77777777" w:rsidR="00020ED5" w:rsidRPr="00020ED5" w:rsidRDefault="00020ED5" w:rsidP="00020ED5">
            <w:pPr>
              <w:jc w:val="center"/>
              <w:rPr>
                <w:rFonts w:ascii="Times New Roman" w:eastAsia="Times New Roman" w:hAnsi="Times New Roman" w:cs="Times New Roman"/>
                <w:b/>
                <w:bCs/>
                <w:sz w:val="24"/>
                <w:szCs w:val="24"/>
                <w:lang w:eastAsia="es-ES"/>
              </w:rPr>
            </w:pPr>
            <w:r w:rsidRPr="00020ED5">
              <w:rPr>
                <w:rFonts w:ascii="Times New Roman" w:eastAsia="Times New Roman" w:hAnsi="Times New Roman" w:cs="Times New Roman"/>
                <w:b/>
                <w:bCs/>
                <w:sz w:val="24"/>
                <w:szCs w:val="24"/>
                <w:lang w:eastAsia="es-ES"/>
              </w:rPr>
              <w:t>Metodología</w:t>
            </w:r>
          </w:p>
        </w:tc>
        <w:tc>
          <w:tcPr>
            <w:tcW w:w="0" w:type="auto"/>
            <w:hideMark/>
          </w:tcPr>
          <w:p w14:paraId="367EFCD0" w14:textId="77777777" w:rsidR="00020ED5" w:rsidRPr="00020ED5" w:rsidRDefault="00020ED5" w:rsidP="00020ED5">
            <w:pPr>
              <w:jc w:val="center"/>
              <w:rPr>
                <w:rFonts w:ascii="Times New Roman" w:eastAsia="Times New Roman" w:hAnsi="Times New Roman" w:cs="Times New Roman"/>
                <w:b/>
                <w:bCs/>
                <w:sz w:val="24"/>
                <w:szCs w:val="24"/>
                <w:lang w:eastAsia="es-ES"/>
              </w:rPr>
            </w:pPr>
            <w:r w:rsidRPr="00020ED5">
              <w:rPr>
                <w:rFonts w:ascii="Times New Roman" w:eastAsia="Times New Roman" w:hAnsi="Times New Roman" w:cs="Times New Roman"/>
                <w:b/>
                <w:bCs/>
                <w:sz w:val="24"/>
                <w:szCs w:val="24"/>
                <w:lang w:eastAsia="es-ES"/>
              </w:rPr>
              <w:t>Enfoque Principal</w:t>
            </w:r>
          </w:p>
        </w:tc>
        <w:tc>
          <w:tcPr>
            <w:tcW w:w="0" w:type="auto"/>
            <w:hideMark/>
          </w:tcPr>
          <w:p w14:paraId="40B575AE" w14:textId="77777777" w:rsidR="00020ED5" w:rsidRPr="00020ED5" w:rsidRDefault="00020ED5" w:rsidP="00020ED5">
            <w:pPr>
              <w:jc w:val="center"/>
              <w:rPr>
                <w:rFonts w:ascii="Times New Roman" w:eastAsia="Times New Roman" w:hAnsi="Times New Roman" w:cs="Times New Roman"/>
                <w:b/>
                <w:bCs/>
                <w:sz w:val="24"/>
                <w:szCs w:val="24"/>
                <w:lang w:eastAsia="es-ES"/>
              </w:rPr>
            </w:pPr>
            <w:r w:rsidRPr="00020ED5">
              <w:rPr>
                <w:rFonts w:ascii="Times New Roman" w:eastAsia="Times New Roman" w:hAnsi="Times New Roman" w:cs="Times New Roman"/>
                <w:b/>
                <w:bCs/>
                <w:sz w:val="24"/>
                <w:szCs w:val="24"/>
                <w:lang w:eastAsia="es-ES"/>
              </w:rPr>
              <w:t>Fases Clave</w:t>
            </w:r>
          </w:p>
        </w:tc>
        <w:tc>
          <w:tcPr>
            <w:tcW w:w="0" w:type="auto"/>
            <w:hideMark/>
          </w:tcPr>
          <w:p w14:paraId="0C705DF2" w14:textId="77777777" w:rsidR="00020ED5" w:rsidRPr="00020ED5" w:rsidRDefault="00020ED5" w:rsidP="00020ED5">
            <w:pPr>
              <w:jc w:val="center"/>
              <w:rPr>
                <w:rFonts w:ascii="Times New Roman" w:eastAsia="Times New Roman" w:hAnsi="Times New Roman" w:cs="Times New Roman"/>
                <w:b/>
                <w:bCs/>
                <w:sz w:val="24"/>
                <w:szCs w:val="24"/>
                <w:lang w:eastAsia="es-ES"/>
              </w:rPr>
            </w:pPr>
            <w:r w:rsidRPr="00020ED5">
              <w:rPr>
                <w:rFonts w:ascii="Times New Roman" w:eastAsia="Times New Roman" w:hAnsi="Times New Roman" w:cs="Times New Roman"/>
                <w:b/>
                <w:bCs/>
                <w:sz w:val="24"/>
                <w:szCs w:val="24"/>
                <w:lang w:eastAsia="es-ES"/>
              </w:rPr>
              <w:t>Ventajas</w:t>
            </w:r>
          </w:p>
        </w:tc>
        <w:tc>
          <w:tcPr>
            <w:tcW w:w="0" w:type="auto"/>
            <w:hideMark/>
          </w:tcPr>
          <w:p w14:paraId="4DD0B633" w14:textId="77777777" w:rsidR="00020ED5" w:rsidRPr="00020ED5" w:rsidRDefault="00020ED5" w:rsidP="00020ED5">
            <w:pPr>
              <w:jc w:val="center"/>
              <w:rPr>
                <w:rFonts w:ascii="Times New Roman" w:eastAsia="Times New Roman" w:hAnsi="Times New Roman" w:cs="Times New Roman"/>
                <w:b/>
                <w:bCs/>
                <w:sz w:val="24"/>
                <w:szCs w:val="24"/>
                <w:lang w:eastAsia="es-ES"/>
              </w:rPr>
            </w:pPr>
            <w:r w:rsidRPr="00020ED5">
              <w:rPr>
                <w:rFonts w:ascii="Times New Roman" w:eastAsia="Times New Roman" w:hAnsi="Times New Roman" w:cs="Times New Roman"/>
                <w:b/>
                <w:bCs/>
                <w:sz w:val="24"/>
                <w:szCs w:val="24"/>
                <w:lang w:eastAsia="es-ES"/>
              </w:rPr>
              <w:t>Desventajas</w:t>
            </w:r>
          </w:p>
        </w:tc>
      </w:tr>
      <w:tr w:rsidR="00020ED5" w:rsidRPr="00020ED5" w14:paraId="6B615DF5" w14:textId="77777777" w:rsidTr="00020ED5">
        <w:tc>
          <w:tcPr>
            <w:tcW w:w="0" w:type="auto"/>
            <w:hideMark/>
          </w:tcPr>
          <w:p w14:paraId="75F92E42"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b/>
                <w:bCs/>
                <w:sz w:val="24"/>
                <w:szCs w:val="24"/>
                <w:lang w:eastAsia="es-ES"/>
              </w:rPr>
              <w:t>OSSTMM</w:t>
            </w:r>
          </w:p>
        </w:tc>
        <w:tc>
          <w:tcPr>
            <w:tcW w:w="0" w:type="auto"/>
            <w:hideMark/>
          </w:tcPr>
          <w:p w14:paraId="737081F9"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Seguridad operativa y medición objetiva</w:t>
            </w:r>
          </w:p>
        </w:tc>
        <w:tc>
          <w:tcPr>
            <w:tcW w:w="0" w:type="auto"/>
            <w:hideMark/>
          </w:tcPr>
          <w:p w14:paraId="3E373228"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Recolección de datos, análisis, pruebas, reporte</w:t>
            </w:r>
          </w:p>
        </w:tc>
        <w:tc>
          <w:tcPr>
            <w:tcW w:w="0" w:type="auto"/>
            <w:hideMark/>
          </w:tcPr>
          <w:p w14:paraId="668BF661"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Muy detallada y cuantificable</w:t>
            </w:r>
          </w:p>
        </w:tc>
        <w:tc>
          <w:tcPr>
            <w:tcW w:w="0" w:type="auto"/>
            <w:hideMark/>
          </w:tcPr>
          <w:p w14:paraId="2277DCE1"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Compleja de aplicar</w:t>
            </w:r>
          </w:p>
        </w:tc>
      </w:tr>
      <w:tr w:rsidR="00020ED5" w:rsidRPr="00020ED5" w14:paraId="049C9E74" w14:textId="77777777" w:rsidTr="00020ED5">
        <w:tc>
          <w:tcPr>
            <w:tcW w:w="0" w:type="auto"/>
            <w:hideMark/>
          </w:tcPr>
          <w:p w14:paraId="115E5F04"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b/>
                <w:bCs/>
                <w:sz w:val="24"/>
                <w:szCs w:val="24"/>
                <w:lang w:eastAsia="es-ES"/>
              </w:rPr>
              <w:t>OWASP</w:t>
            </w:r>
          </w:p>
        </w:tc>
        <w:tc>
          <w:tcPr>
            <w:tcW w:w="0" w:type="auto"/>
            <w:hideMark/>
          </w:tcPr>
          <w:p w14:paraId="6C6FDC37"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Seguridad en aplicaciones web</w:t>
            </w:r>
          </w:p>
        </w:tc>
        <w:tc>
          <w:tcPr>
            <w:tcW w:w="0" w:type="auto"/>
            <w:hideMark/>
          </w:tcPr>
          <w:p w14:paraId="1A6019ED"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Reconocimiento, pruebas de vulnerabilidades, explotación</w:t>
            </w:r>
          </w:p>
        </w:tc>
        <w:tc>
          <w:tcPr>
            <w:tcW w:w="0" w:type="auto"/>
            <w:hideMark/>
          </w:tcPr>
          <w:p w14:paraId="73CF5AF5"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Ideal para aplicaciones web</w:t>
            </w:r>
          </w:p>
        </w:tc>
        <w:tc>
          <w:tcPr>
            <w:tcW w:w="0" w:type="auto"/>
            <w:hideMark/>
          </w:tcPr>
          <w:p w14:paraId="74E15C3E"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Limitada fuera del entorno web</w:t>
            </w:r>
          </w:p>
        </w:tc>
      </w:tr>
      <w:tr w:rsidR="00020ED5" w:rsidRPr="00020ED5" w14:paraId="1C5D1146" w14:textId="77777777" w:rsidTr="00020ED5">
        <w:tc>
          <w:tcPr>
            <w:tcW w:w="0" w:type="auto"/>
            <w:hideMark/>
          </w:tcPr>
          <w:p w14:paraId="07777939"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b/>
                <w:bCs/>
                <w:sz w:val="24"/>
                <w:szCs w:val="24"/>
                <w:lang w:eastAsia="es-ES"/>
              </w:rPr>
              <w:t>NIST SP 800-115</w:t>
            </w:r>
          </w:p>
        </w:tc>
        <w:tc>
          <w:tcPr>
            <w:tcW w:w="0" w:type="auto"/>
            <w:hideMark/>
          </w:tcPr>
          <w:p w14:paraId="0D723236"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Guía formal basada en estándares</w:t>
            </w:r>
          </w:p>
        </w:tc>
        <w:tc>
          <w:tcPr>
            <w:tcW w:w="0" w:type="auto"/>
            <w:hideMark/>
          </w:tcPr>
          <w:p w14:paraId="70FD056D"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Planificación, descubrimiento, ataque, reporte</w:t>
            </w:r>
          </w:p>
        </w:tc>
        <w:tc>
          <w:tcPr>
            <w:tcW w:w="0" w:type="auto"/>
            <w:hideMark/>
          </w:tcPr>
          <w:p w14:paraId="35C60F33"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Enfoque estructurado y oficial</w:t>
            </w:r>
          </w:p>
        </w:tc>
        <w:tc>
          <w:tcPr>
            <w:tcW w:w="0" w:type="auto"/>
            <w:hideMark/>
          </w:tcPr>
          <w:p w14:paraId="0A41E0E3"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Menos práctico para principiantes</w:t>
            </w:r>
          </w:p>
        </w:tc>
      </w:tr>
      <w:tr w:rsidR="00020ED5" w:rsidRPr="00020ED5" w14:paraId="465C6CA6" w14:textId="77777777" w:rsidTr="00020ED5">
        <w:tc>
          <w:tcPr>
            <w:tcW w:w="0" w:type="auto"/>
            <w:hideMark/>
          </w:tcPr>
          <w:p w14:paraId="396C75BC"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b/>
                <w:bCs/>
                <w:sz w:val="24"/>
                <w:szCs w:val="24"/>
                <w:lang w:eastAsia="es-ES"/>
              </w:rPr>
              <w:t>PTES</w:t>
            </w:r>
          </w:p>
        </w:tc>
        <w:tc>
          <w:tcPr>
            <w:tcW w:w="0" w:type="auto"/>
            <w:hideMark/>
          </w:tcPr>
          <w:p w14:paraId="10ED75D5"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 xml:space="preserve">Proceso completo de </w:t>
            </w:r>
            <w:proofErr w:type="spellStart"/>
            <w:r w:rsidRPr="00020ED5">
              <w:rPr>
                <w:rFonts w:ascii="Times New Roman" w:eastAsia="Times New Roman" w:hAnsi="Times New Roman" w:cs="Times New Roman"/>
                <w:sz w:val="24"/>
                <w:szCs w:val="24"/>
                <w:lang w:eastAsia="es-ES"/>
              </w:rPr>
              <w:t>pentesting</w:t>
            </w:r>
            <w:proofErr w:type="spellEnd"/>
          </w:p>
        </w:tc>
        <w:tc>
          <w:tcPr>
            <w:tcW w:w="0" w:type="auto"/>
            <w:hideMark/>
          </w:tcPr>
          <w:p w14:paraId="00CE1944" w14:textId="77777777" w:rsidR="00020ED5" w:rsidRPr="00020ED5" w:rsidRDefault="00020ED5" w:rsidP="00020ED5">
            <w:pPr>
              <w:rPr>
                <w:rFonts w:ascii="Times New Roman" w:eastAsia="Times New Roman" w:hAnsi="Times New Roman" w:cs="Times New Roman"/>
                <w:sz w:val="24"/>
                <w:szCs w:val="24"/>
                <w:lang w:eastAsia="es-ES"/>
              </w:rPr>
            </w:pPr>
            <w:proofErr w:type="spellStart"/>
            <w:r w:rsidRPr="00020ED5">
              <w:rPr>
                <w:rFonts w:ascii="Times New Roman" w:eastAsia="Times New Roman" w:hAnsi="Times New Roman" w:cs="Times New Roman"/>
                <w:sz w:val="24"/>
                <w:szCs w:val="24"/>
                <w:lang w:eastAsia="es-ES"/>
              </w:rPr>
              <w:t>Pre-engagement</w:t>
            </w:r>
            <w:proofErr w:type="spellEnd"/>
            <w:r w:rsidRPr="00020ED5">
              <w:rPr>
                <w:rFonts w:ascii="Times New Roman" w:eastAsia="Times New Roman" w:hAnsi="Times New Roman" w:cs="Times New Roman"/>
                <w:sz w:val="24"/>
                <w:szCs w:val="24"/>
                <w:lang w:eastAsia="es-ES"/>
              </w:rPr>
              <w:t xml:space="preserve">, inteligencia, explotación, </w:t>
            </w:r>
            <w:proofErr w:type="spellStart"/>
            <w:r w:rsidRPr="00020ED5">
              <w:rPr>
                <w:rFonts w:ascii="Times New Roman" w:eastAsia="Times New Roman" w:hAnsi="Times New Roman" w:cs="Times New Roman"/>
                <w:sz w:val="24"/>
                <w:szCs w:val="24"/>
                <w:lang w:eastAsia="es-ES"/>
              </w:rPr>
              <w:t>post-explotación</w:t>
            </w:r>
            <w:proofErr w:type="spellEnd"/>
          </w:p>
        </w:tc>
        <w:tc>
          <w:tcPr>
            <w:tcW w:w="0" w:type="auto"/>
            <w:hideMark/>
          </w:tcPr>
          <w:p w14:paraId="7DABF19C"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Muy completo y realista</w:t>
            </w:r>
          </w:p>
        </w:tc>
        <w:tc>
          <w:tcPr>
            <w:tcW w:w="0" w:type="auto"/>
            <w:hideMark/>
          </w:tcPr>
          <w:p w14:paraId="4860D872" w14:textId="77777777" w:rsidR="00020ED5" w:rsidRPr="00020ED5" w:rsidRDefault="00020ED5" w:rsidP="00020ED5">
            <w:pPr>
              <w:rPr>
                <w:rFonts w:ascii="Times New Roman" w:eastAsia="Times New Roman" w:hAnsi="Times New Roman" w:cs="Times New Roman"/>
                <w:sz w:val="24"/>
                <w:szCs w:val="24"/>
                <w:lang w:eastAsia="es-ES"/>
              </w:rPr>
            </w:pPr>
            <w:r w:rsidRPr="00020ED5">
              <w:rPr>
                <w:rFonts w:ascii="Times New Roman" w:eastAsia="Times New Roman" w:hAnsi="Times New Roman" w:cs="Times New Roman"/>
                <w:sz w:val="24"/>
                <w:szCs w:val="24"/>
                <w:lang w:eastAsia="es-ES"/>
              </w:rPr>
              <w:t>Puede ser extenso</w:t>
            </w:r>
          </w:p>
        </w:tc>
      </w:tr>
    </w:tbl>
    <w:p w14:paraId="6AE98531" w14:textId="77777777" w:rsidR="00020ED5" w:rsidRPr="00020ED5" w:rsidRDefault="00020ED5" w:rsidP="00020ED5">
      <w:pPr>
        <w:rPr>
          <w:sz w:val="24"/>
          <w:szCs w:val="24"/>
          <w:lang w:eastAsia="es-ES"/>
        </w:rPr>
      </w:pPr>
    </w:p>
    <w:p w14:paraId="70ADD6AE" w14:textId="77777777" w:rsidR="00020ED5" w:rsidRDefault="00020ED5"/>
    <w:sectPr w:rsidR="00020E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ocs-Robot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ED5"/>
    <w:rsid w:val="00020ED5"/>
    <w:rsid w:val="00153D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6806"/>
  <w15:chartTrackingRefBased/>
  <w15:docId w15:val="{39644F79-8C14-490C-89DA-FBED4D16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20E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ED5"/>
    <w:rPr>
      <w:rFonts w:ascii="Times New Roman" w:eastAsia="Times New Roman" w:hAnsi="Times New Roman" w:cs="Times New Roman"/>
      <w:b/>
      <w:bCs/>
      <w:kern w:val="36"/>
      <w:sz w:val="48"/>
      <w:szCs w:val="48"/>
      <w:lang w:eastAsia="es-ES"/>
    </w:rPr>
  </w:style>
  <w:style w:type="character" w:styleId="Textoennegrita">
    <w:name w:val="Strong"/>
    <w:basedOn w:val="Fuentedeprrafopredeter"/>
    <w:uiPriority w:val="22"/>
    <w:qFormat/>
    <w:rsid w:val="00020ED5"/>
    <w:rPr>
      <w:b/>
      <w:bCs/>
    </w:rPr>
  </w:style>
  <w:style w:type="paragraph" w:styleId="NormalWeb">
    <w:name w:val="Normal (Web)"/>
    <w:basedOn w:val="Normal"/>
    <w:uiPriority w:val="99"/>
    <w:semiHidden/>
    <w:unhideWhenUsed/>
    <w:rsid w:val="00020ED5"/>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020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673211">
      <w:bodyDiv w:val="1"/>
      <w:marLeft w:val="0"/>
      <w:marRight w:val="0"/>
      <w:marTop w:val="0"/>
      <w:marBottom w:val="0"/>
      <w:divBdr>
        <w:top w:val="none" w:sz="0" w:space="0" w:color="auto"/>
        <w:left w:val="none" w:sz="0" w:space="0" w:color="auto"/>
        <w:bottom w:val="none" w:sz="0" w:space="0" w:color="auto"/>
        <w:right w:val="none" w:sz="0" w:space="0" w:color="auto"/>
      </w:divBdr>
    </w:div>
    <w:div w:id="1158037796">
      <w:bodyDiv w:val="1"/>
      <w:marLeft w:val="0"/>
      <w:marRight w:val="0"/>
      <w:marTop w:val="0"/>
      <w:marBottom w:val="0"/>
      <w:divBdr>
        <w:top w:val="none" w:sz="0" w:space="0" w:color="auto"/>
        <w:left w:val="none" w:sz="0" w:space="0" w:color="auto"/>
        <w:bottom w:val="none" w:sz="0" w:space="0" w:color="auto"/>
        <w:right w:val="none" w:sz="0" w:space="0" w:color="auto"/>
      </w:divBdr>
    </w:div>
    <w:div w:id="201079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170</Words>
  <Characters>938</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Victor Anampa Antayhua</dc:creator>
  <cp:keywords/>
  <dc:description/>
  <cp:lastModifiedBy>Alberto Victor Anampa Antayhua</cp:lastModifiedBy>
  <cp:revision>1</cp:revision>
  <dcterms:created xsi:type="dcterms:W3CDTF">2026-04-20T20:50:00Z</dcterms:created>
  <dcterms:modified xsi:type="dcterms:W3CDTF">2026-04-20T20:57:00Z</dcterms:modified>
</cp:coreProperties>
</file>