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2C08AF" w:rsidR="00FE02B3" w:rsidRDefault="003D6C80">
      <w:r>
        <w:t>Tarea Diagramas de casos de uso</w:t>
      </w:r>
    </w:p>
    <w:p w14:paraId="00000002" w14:textId="77777777" w:rsidR="00FE02B3" w:rsidRDefault="00FE02B3"/>
    <w:p w14:paraId="00000003" w14:textId="77777777" w:rsidR="00FE02B3" w:rsidRDefault="003D6C80">
      <w:pPr>
        <w:numPr>
          <w:ilvl w:val="0"/>
          <w:numId w:val="1"/>
        </w:numPr>
      </w:pPr>
      <w:r>
        <w:t>A partir del siguiente enunciado, crea el diagrama de casos de uso correspondiente:</w:t>
      </w:r>
    </w:p>
    <w:p w14:paraId="00000004" w14:textId="78A47A05" w:rsidR="00FE02B3" w:rsidRDefault="003D6C80">
      <w:pPr>
        <w:numPr>
          <w:ilvl w:val="1"/>
          <w:numId w:val="1"/>
        </w:numPr>
      </w:pPr>
      <w:r>
        <w:t>Caso de uso: comprobación de las vacunas</w:t>
      </w:r>
    </w:p>
    <w:p w14:paraId="00000005" w14:textId="1D0A7DFA" w:rsidR="00FE02B3" w:rsidRDefault="003D6C80">
      <w:pPr>
        <w:numPr>
          <w:ilvl w:val="1"/>
          <w:numId w:val="1"/>
        </w:numPr>
      </w:pPr>
      <w:r>
        <w:t xml:space="preserve">En una tienda de animales, un cliente puede comprar un animal, tras lo </w:t>
      </w:r>
      <w:proofErr w:type="spellStart"/>
      <w:r>
        <w:t>cuál</w:t>
      </w:r>
      <w:proofErr w:type="spellEnd"/>
      <w:r>
        <w:t xml:space="preserve"> se debe comprobar sus vacunas, así como el ponerles el chip de seguimiento. Ambas acciones se incluyen en la compra.</w:t>
      </w:r>
    </w:p>
    <w:p w14:paraId="00000006" w14:textId="7BF9336D" w:rsidR="00FE02B3" w:rsidRDefault="00BA242D">
      <w:pPr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B635EB" wp14:editId="6D02A6BE">
            <wp:simplePos x="0" y="0"/>
            <wp:positionH relativeFrom="margin">
              <wp:posOffset>297180</wp:posOffset>
            </wp:positionH>
            <wp:positionV relativeFrom="paragraph">
              <wp:posOffset>429260</wp:posOffset>
            </wp:positionV>
            <wp:extent cx="5181600" cy="235267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C80">
        <w:t>La comprobación de las vacunas la realizará el vendedor, y el c</w:t>
      </w:r>
      <w:r w:rsidR="003D6C80">
        <w:t>hip de seguimiento lo pone el veterinario.</w:t>
      </w:r>
    </w:p>
    <w:p w14:paraId="00000007" w14:textId="708AA5DF" w:rsidR="00FE02B3" w:rsidRDefault="00FE02B3" w:rsidP="00BA242D"/>
    <w:p w14:paraId="00000008" w14:textId="303F4B3B" w:rsidR="00FE02B3" w:rsidRDefault="003D6C80">
      <w:pPr>
        <w:numPr>
          <w:ilvl w:val="0"/>
          <w:numId w:val="1"/>
        </w:numPr>
      </w:pPr>
      <w:r>
        <w:t>A partir del siguiente enunciado, crea el diagrama de casos de uso correspondiente:</w:t>
      </w:r>
    </w:p>
    <w:p w14:paraId="00000009" w14:textId="763D3AEE" w:rsidR="00FE02B3" w:rsidRDefault="003D6C80">
      <w:pPr>
        <w:numPr>
          <w:ilvl w:val="1"/>
          <w:numId w:val="1"/>
        </w:numPr>
      </w:pPr>
      <w:r>
        <w:t>Caso de uso: gestión de la web marca.com</w:t>
      </w:r>
    </w:p>
    <w:p w14:paraId="0000000A" w14:textId="14C7BC3D" w:rsidR="00FE02B3" w:rsidRDefault="003D6C80">
      <w:pPr>
        <w:numPr>
          <w:ilvl w:val="1"/>
          <w:numId w:val="1"/>
        </w:numPr>
      </w:pPr>
      <w:r>
        <w:t>Los usuarios no registrados pueden consultar las noticias y consultar enlaces, pueden v</w:t>
      </w:r>
      <w:r>
        <w:t>er los comentarios, pero no publicarlos.</w:t>
      </w:r>
    </w:p>
    <w:p w14:paraId="0000000B" w14:textId="0D5AF344" w:rsidR="00FE02B3" w:rsidRDefault="003D6C80">
      <w:pPr>
        <w:numPr>
          <w:ilvl w:val="1"/>
          <w:numId w:val="1"/>
        </w:numPr>
      </w:pPr>
      <w:r>
        <w:t xml:space="preserve">La consulta de enlaces incluye la validación de </w:t>
      </w:r>
      <w:proofErr w:type="gramStart"/>
      <w:r>
        <w:t>los mismos</w:t>
      </w:r>
      <w:proofErr w:type="gramEnd"/>
      <w:r>
        <w:t>.</w:t>
      </w:r>
    </w:p>
    <w:p w14:paraId="0000000C" w14:textId="2236C4FA" w:rsidR="00FE02B3" w:rsidRDefault="00FF19D2">
      <w:pPr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D79B09" wp14:editId="420CCBCD">
            <wp:simplePos x="0" y="0"/>
            <wp:positionH relativeFrom="margin">
              <wp:posOffset>685800</wp:posOffset>
            </wp:positionH>
            <wp:positionV relativeFrom="paragraph">
              <wp:posOffset>384810</wp:posOffset>
            </wp:positionV>
            <wp:extent cx="4685030" cy="3389630"/>
            <wp:effectExtent l="0" t="0" r="1270" b="1270"/>
            <wp:wrapTopAndBottom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03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C80">
        <w:t>Los usuarios registrados pueden realizar las acciones del apartado b, además de publicar comentarios.</w:t>
      </w:r>
    </w:p>
    <w:p w14:paraId="0000000D" w14:textId="694916C4" w:rsidR="00FE02B3" w:rsidRDefault="00FE02B3"/>
    <w:p w14:paraId="0000000E" w14:textId="721543A7" w:rsidR="00FE02B3" w:rsidRDefault="003D6C80">
      <w:pPr>
        <w:numPr>
          <w:ilvl w:val="0"/>
          <w:numId w:val="1"/>
        </w:numPr>
      </w:pPr>
      <w:r>
        <w:lastRenderedPageBreak/>
        <w:t>A partir del siguiente enunciado, crea el diagrama d</w:t>
      </w:r>
      <w:r>
        <w:t>e casos de uso correspondiente:</w:t>
      </w:r>
    </w:p>
    <w:p w14:paraId="0000000F" w14:textId="2524B34C" w:rsidR="00FE02B3" w:rsidRDefault="003D6C80">
      <w:pPr>
        <w:numPr>
          <w:ilvl w:val="1"/>
          <w:numId w:val="1"/>
        </w:numPr>
      </w:pPr>
      <w:r>
        <w:t>Caso de uso: modificar notas</w:t>
      </w:r>
    </w:p>
    <w:p w14:paraId="00000010" w14:textId="41C67738" w:rsidR="00FE02B3" w:rsidRDefault="003D6C80">
      <w:pPr>
        <w:numPr>
          <w:ilvl w:val="1"/>
          <w:numId w:val="1"/>
        </w:numPr>
      </w:pPr>
      <w:r>
        <w:t>Modificación de las notas por parte de jefatura.</w:t>
      </w:r>
    </w:p>
    <w:p w14:paraId="00000011" w14:textId="21F7DCF2" w:rsidR="00FE02B3" w:rsidRDefault="003D6C80">
      <w:pPr>
        <w:numPr>
          <w:ilvl w:val="1"/>
          <w:numId w:val="1"/>
        </w:numPr>
      </w:pPr>
      <w:r>
        <w:t xml:space="preserve">Para poder modificar las notas, se realizan dos acciones que extienden la modificación: </w:t>
      </w:r>
      <w:proofErr w:type="spellStart"/>
      <w:r>
        <w:t>login</w:t>
      </w:r>
      <w:proofErr w:type="spellEnd"/>
      <w:r>
        <w:t xml:space="preserve"> e ingreso de notas.</w:t>
      </w:r>
    </w:p>
    <w:p w14:paraId="00000012" w14:textId="742566A9" w:rsidR="00FE02B3" w:rsidRDefault="00B401DD">
      <w:pPr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953864" wp14:editId="59E0492B">
            <wp:simplePos x="0" y="0"/>
            <wp:positionH relativeFrom="margin">
              <wp:align>center</wp:align>
            </wp:positionH>
            <wp:positionV relativeFrom="paragraph">
              <wp:posOffset>224790</wp:posOffset>
            </wp:positionV>
            <wp:extent cx="4946650" cy="2952115"/>
            <wp:effectExtent l="0" t="0" r="6350" b="63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C80">
        <w:t xml:space="preserve">La modificación de las </w:t>
      </w:r>
      <w:proofErr w:type="gramStart"/>
      <w:r w:rsidR="003D6C80">
        <w:t>notas,</w:t>
      </w:r>
      <w:proofErr w:type="gramEnd"/>
      <w:r w:rsidR="003D6C80">
        <w:t xml:space="preserve"> in</w:t>
      </w:r>
      <w:r w:rsidR="003D6C80">
        <w:t>cluye la generación impresa de las notas.</w:t>
      </w:r>
    </w:p>
    <w:p w14:paraId="00000013" w14:textId="6F11B764" w:rsidR="00FE02B3" w:rsidRDefault="00FE02B3"/>
    <w:p w14:paraId="00000014" w14:textId="71DF2038" w:rsidR="00FE02B3" w:rsidRDefault="003D6C80">
      <w:pPr>
        <w:numPr>
          <w:ilvl w:val="0"/>
          <w:numId w:val="1"/>
        </w:numPr>
      </w:pPr>
      <w:r>
        <w:t>A partir del siguiente enunciado, crea el diagrama de casos de uso correspondiente:</w:t>
      </w:r>
    </w:p>
    <w:p w14:paraId="00000015" w14:textId="3DFCFBBA" w:rsidR="00FE02B3" w:rsidRDefault="003D6C80">
      <w:pPr>
        <w:numPr>
          <w:ilvl w:val="1"/>
          <w:numId w:val="1"/>
        </w:numPr>
      </w:pPr>
      <w:r>
        <w:t>Un juego de móvil donde participan dos jugadores cada uno con su propio móvil. Cuando dos jugadores desean jugar, uno de ellos cr</w:t>
      </w:r>
      <w:r>
        <w:t xml:space="preserve">ea una nueva partida y el otro se conecta. </w:t>
      </w:r>
    </w:p>
    <w:p w14:paraId="00000016" w14:textId="16FC42CA" w:rsidR="00FE02B3" w:rsidRDefault="003D6C80">
      <w:pPr>
        <w:numPr>
          <w:ilvl w:val="1"/>
          <w:numId w:val="1"/>
        </w:numPr>
      </w:pPr>
      <w:r>
        <w:t xml:space="preserve">El objetivo del juego es mover una nave y </w:t>
      </w:r>
      <w:proofErr w:type="gramStart"/>
      <w:r>
        <w:t>disparar</w:t>
      </w:r>
      <w:proofErr w:type="gramEnd"/>
      <w:r>
        <w:t xml:space="preserve"> al contrario. </w:t>
      </w:r>
    </w:p>
    <w:p w14:paraId="00000017" w14:textId="42566166" w:rsidR="00FE02B3" w:rsidRDefault="00B401DD">
      <w:pPr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E68825D" wp14:editId="5FBD9CB4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5085715" cy="3524250"/>
            <wp:effectExtent l="0" t="0" r="635" b="0"/>
            <wp:wrapTopAndBottom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C80">
        <w:t>Disparar incluye la finalización de la partida por parte de los dos jugadores.</w:t>
      </w:r>
    </w:p>
    <w:p w14:paraId="00000018" w14:textId="117494FF" w:rsidR="00FE02B3" w:rsidRDefault="003D6C80">
      <w:r>
        <w:lastRenderedPageBreak/>
        <w:tab/>
      </w:r>
    </w:p>
    <w:p w14:paraId="00000019" w14:textId="77777777" w:rsidR="00FE02B3" w:rsidRDefault="003D6C80">
      <w:pPr>
        <w:numPr>
          <w:ilvl w:val="0"/>
          <w:numId w:val="1"/>
        </w:numPr>
      </w:pPr>
      <w:r>
        <w:t>A partir del siguiente enunciado, crea el diagrama de casos de us</w:t>
      </w:r>
      <w:r>
        <w:t>o correspondiente:</w:t>
      </w:r>
    </w:p>
    <w:p w14:paraId="0000001A" w14:textId="77777777" w:rsidR="00FE02B3" w:rsidRDefault="003D6C80">
      <w:pPr>
        <w:numPr>
          <w:ilvl w:val="1"/>
          <w:numId w:val="1"/>
        </w:numPr>
      </w:pPr>
      <w:r>
        <w:t>En una empresa, tenemos usuarios, abogados y administradores.</w:t>
      </w:r>
    </w:p>
    <w:p w14:paraId="0000001B" w14:textId="202CD3AC" w:rsidR="00FE02B3" w:rsidRDefault="003D6C80">
      <w:pPr>
        <w:numPr>
          <w:ilvl w:val="1"/>
          <w:numId w:val="1"/>
        </w:numPr>
      </w:pPr>
      <w:r>
        <w:t>Los usuarios y abogados pueden iniciar sesión en el servidor de la empresa, que incluye la visualización del perfil.</w:t>
      </w:r>
    </w:p>
    <w:p w14:paraId="0000001C" w14:textId="23EA842B" w:rsidR="00FE02B3" w:rsidRDefault="003D6C80">
      <w:pPr>
        <w:ind w:left="1440"/>
      </w:pPr>
      <w:proofErr w:type="gramStart"/>
      <w:r>
        <w:t>Además</w:t>
      </w:r>
      <w:proofErr w:type="gramEnd"/>
      <w:r>
        <w:t xml:space="preserve"> pueden actualizar los datos de sus cuentas, que extiende del inicio de sesión.</w:t>
      </w:r>
    </w:p>
    <w:p w14:paraId="0000001D" w14:textId="21F12084" w:rsidR="00FE02B3" w:rsidRDefault="003D6C80">
      <w:pPr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F68D49" wp14:editId="3A792DA3">
            <wp:simplePos x="0" y="0"/>
            <wp:positionH relativeFrom="margin">
              <wp:align>right</wp:align>
            </wp:positionH>
            <wp:positionV relativeFrom="paragraph">
              <wp:posOffset>469265</wp:posOffset>
            </wp:positionV>
            <wp:extent cx="5733415" cy="3284220"/>
            <wp:effectExtent l="0" t="0" r="635" b="0"/>
            <wp:wrapTopAndBottom/>
            <wp:docPr id="6" name="Imagen 6" descr="Interfaz de usuario gráfica, Diagram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Diagrama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Los administradores de la empresa pueden iniciar sesión como administrador, y desactivar las cuentas.</w:t>
      </w:r>
    </w:p>
    <w:p w14:paraId="0000001E" w14:textId="64516734" w:rsidR="00FE02B3" w:rsidRDefault="00FE02B3"/>
    <w:sectPr w:rsidR="00FE02B3" w:rsidSect="00FF19D2">
      <w:pgSz w:w="11909" w:h="16834"/>
      <w:pgMar w:top="1440" w:right="1440" w:bottom="99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562C4"/>
    <w:multiLevelType w:val="multilevel"/>
    <w:tmpl w:val="6C80F1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2B3"/>
    <w:rsid w:val="003D6C80"/>
    <w:rsid w:val="00B401DD"/>
    <w:rsid w:val="00BA242D"/>
    <w:rsid w:val="00CA0F17"/>
    <w:rsid w:val="00FE02B3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3436F"/>
  <w15:docId w15:val="{6969034A-9CF4-4371-BFC6-C0DCEA9F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3118B766354A4486ABF7FF376017DA" ma:contentTypeVersion="3" ma:contentTypeDescription="Crear nuevo documento." ma:contentTypeScope="" ma:versionID="e05981039516f7f8b250e93ce3fc025b">
  <xsd:schema xmlns:xsd="http://www.w3.org/2001/XMLSchema" xmlns:xs="http://www.w3.org/2001/XMLSchema" xmlns:p="http://schemas.microsoft.com/office/2006/metadata/properties" xmlns:ns2="66732972-c87b-4696-9d47-75e02ed40e7a" targetNamespace="http://schemas.microsoft.com/office/2006/metadata/properties" ma:root="true" ma:fieldsID="70e36e70def71e84681c1095c7b683a3" ns2:_="">
    <xsd:import namespace="66732972-c87b-4696-9d47-75e02ed40e7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732972-c87b-4696-9d47-75e02ed40e7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6732972-c87b-4696-9d47-75e02ed40e7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747968-A56B-4F56-B369-CB55A7962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732972-c87b-4696-9d47-75e02ed40e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35C2F0-97D0-43F7-B6D6-F5B11DB07718}">
  <ds:schemaRefs>
    <ds:schemaRef ds:uri="http://schemas.microsoft.com/office/2006/metadata/properties"/>
    <ds:schemaRef ds:uri="http://schemas.microsoft.com/office/infopath/2007/PartnerControls"/>
    <ds:schemaRef ds:uri="66732972-c87b-4696-9d47-75e02ed40e7a"/>
  </ds:schemaRefs>
</ds:datastoreItem>
</file>

<file path=customXml/itemProps3.xml><?xml version="1.0" encoding="utf-8"?>
<ds:datastoreItem xmlns:ds="http://schemas.openxmlformats.org/officeDocument/2006/customXml" ds:itemID="{9B7C7027-F1FB-471C-8E0C-469DBF04DB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Alberto Benito Molina</cp:lastModifiedBy>
  <cp:revision>2</cp:revision>
  <dcterms:created xsi:type="dcterms:W3CDTF">2021-05-06T11:17:00Z</dcterms:created>
  <dcterms:modified xsi:type="dcterms:W3CDTF">2021-05-06T11:17:00Z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0x0101001B3118B766354A4486ABF7FF376017DA</vt:lpwstr>
  </property>
</Properties>
</file>