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Caso de uso: Sistema Unison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 xml:space="preserve">Caso de uso: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Renovar préstamo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Descripción: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En este caso de uso se describe el proceso mediante el cual el alumno puede extender su tiempo de préstamo, con la ayuda del bibliotecario, quien es el encargado de llevar a cabo esta acción en el sistema.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Autor: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Amaya Soria Ángel Alberto.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Fecha: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31/01/2025.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Actores: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Estudiante, bibliotecario, profesor.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Precondiciones: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2"/>
          <w:szCs w:val="22"/>
        </w:rPr>
        <w:tab/>
        <w:t>El alumno/profesor debe tener prestado un libro de la biblioteca.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Flujo principal: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El alumno/profesor tiene un libro.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Lleva el libro al bibliotecario.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Solicita la renovación.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El bibliotecario registra la renovación del libro.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Se entrega el libro al alumno/profesor.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2"/>
          <w:szCs w:val="22"/>
        </w:rPr>
        <w:t>Flujos alternativos: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Si el usuario ya renovó el libro más veces de lo permitido, el bibliotecario debe informar que ya no puede volver a renovar ese préstamo específico.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Si el usuario no desea renovar el libro, este será registrado como “disponible”.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sz w:val="22"/>
          <w:szCs w:val="22"/>
        </w:rPr>
        <w:t>Postcondiciones:</w:t>
      </w:r>
    </w:p>
    <w:p>
      <w:pPr>
        <w:pStyle w:val="Normal"/>
        <w:bidi w:val="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El libro vuelve a registrarse como “prestado”.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sz w:val="22"/>
          <w:szCs w:val="22"/>
        </w:rPr>
        <w:t>El libro vuelve a ser registrado como “disponible”.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ans CJK HK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ans CJK HK" w:cs="FreeSans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165</Words>
  <Characters>887</Characters>
  <CharactersWithSpaces>1025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2025-01-31T21:41:14Z</dcterms:created>
  <dc:creator/>
  <dc:description/>
  <dc:language>es-MX</dc:language>
  <cp:lastModifiedBy/>
  <dcterms:modified xsi:type="dcterms:W3CDTF">2025-01-31T22:06:44Z</dcterms:modified>
  <cp:revision>1</cp:revision>
  <dc:subject/>
  <dc:title/>
</cp:coreProperties>
</file>