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DD8B8" w14:textId="77777777" w:rsidR="00D517B1" w:rsidRDefault="00D517B1">
      <w:pPr>
        <w:spacing w:line="360" w:lineRule="auto"/>
        <w:rPr>
          <w:rFonts w:ascii="Arial" w:eastAsia="Arial" w:hAnsi="Arial" w:cs="Arial"/>
          <w:b/>
          <w:highlight w:val="lightGray"/>
        </w:rPr>
      </w:pPr>
    </w:p>
    <w:p w14:paraId="7B1FEF78" w14:textId="77777777" w:rsidR="00D517B1" w:rsidRDefault="00000000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VIABILIDAD DE LA INDUCCIÓN DE LA REPRODUCCIÓN ASEXUAL EN ANEMONIA VIRIDIS: ANÁLISIS DE MARCADORES DE BIENESTAR</w:t>
      </w:r>
    </w:p>
    <w:p w14:paraId="1332CCB3" w14:textId="77777777" w:rsidR="00D517B1" w:rsidRDefault="00D517B1">
      <w:pPr>
        <w:spacing w:line="360" w:lineRule="auto"/>
        <w:jc w:val="center"/>
        <w:rPr>
          <w:rFonts w:ascii="Arial" w:eastAsia="Arial" w:hAnsi="Arial" w:cs="Arial"/>
          <w:b/>
        </w:rPr>
      </w:pPr>
    </w:p>
    <w:p w14:paraId="1EE3BD7B" w14:textId="5A740CDE" w:rsidR="00CA55B0" w:rsidRDefault="00000000">
      <w:pPr>
        <w:spacing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Coll, Alberto</w:t>
      </w:r>
      <w:r w:rsidR="00CA55B0" w:rsidRPr="00CA55B0">
        <w:rPr>
          <w:rFonts w:ascii="Arial" w:eastAsia="Arial" w:hAnsi="Arial" w:cs="Arial"/>
          <w:b/>
          <w:sz w:val="20"/>
          <w:szCs w:val="20"/>
          <w:vertAlign w:val="superscript"/>
        </w:rPr>
        <w:t>1</w:t>
      </w:r>
      <w:r>
        <w:rPr>
          <w:rFonts w:ascii="Arial" w:eastAsia="Arial" w:hAnsi="Arial" w:cs="Arial"/>
          <w:b/>
          <w:sz w:val="20"/>
          <w:szCs w:val="20"/>
        </w:rPr>
        <w:t>; Ortiz-Maldonado, Ana E</w:t>
      </w:r>
      <w:r w:rsidR="00CA55B0" w:rsidRPr="00CA55B0">
        <w:rPr>
          <w:rFonts w:ascii="Arial" w:eastAsia="Arial" w:hAnsi="Arial" w:cs="Arial"/>
          <w:b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b/>
          <w:sz w:val="20"/>
          <w:szCs w:val="20"/>
        </w:rPr>
        <w:t>.; Ramos-Barbero, Marta</w:t>
      </w:r>
      <w:r w:rsidR="00CA55B0" w:rsidRPr="00CA55B0">
        <w:rPr>
          <w:rFonts w:ascii="Arial" w:eastAsia="Arial" w:hAnsi="Arial" w:cs="Arial"/>
          <w:b/>
          <w:sz w:val="20"/>
          <w:szCs w:val="20"/>
          <w:vertAlign w:val="superscript"/>
        </w:rPr>
        <w:t>3</w:t>
      </w:r>
      <w:r>
        <w:rPr>
          <w:rFonts w:ascii="Arial" w:eastAsia="Arial" w:hAnsi="Arial" w:cs="Arial"/>
          <w:b/>
          <w:sz w:val="20"/>
          <w:szCs w:val="20"/>
        </w:rPr>
        <w:t>; Pantoja-Echevar</w:t>
      </w:r>
      <w:r w:rsidR="00CA55B0">
        <w:rPr>
          <w:rFonts w:ascii="Arial" w:eastAsia="Arial" w:hAnsi="Arial" w:cs="Arial"/>
          <w:b/>
          <w:sz w:val="20"/>
          <w:szCs w:val="20"/>
        </w:rPr>
        <w:t>r</w:t>
      </w:r>
      <w:r>
        <w:rPr>
          <w:rFonts w:ascii="Arial" w:eastAsia="Arial" w:hAnsi="Arial" w:cs="Arial"/>
          <w:b/>
          <w:sz w:val="20"/>
          <w:szCs w:val="20"/>
        </w:rPr>
        <w:t>ía, Laura</w:t>
      </w:r>
      <w:r w:rsidR="00CA55B0" w:rsidRPr="00CA55B0">
        <w:rPr>
          <w:rFonts w:ascii="Arial" w:eastAsia="Arial" w:hAnsi="Arial" w:cs="Arial"/>
          <w:b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b/>
          <w:sz w:val="20"/>
          <w:szCs w:val="20"/>
        </w:rPr>
        <w:t>;</w:t>
      </w:r>
      <w:r w:rsidR="00951053">
        <w:rPr>
          <w:rFonts w:ascii="Arial" w:eastAsia="Arial" w:hAnsi="Arial" w:cs="Arial"/>
          <w:b/>
          <w:sz w:val="20"/>
          <w:szCs w:val="20"/>
        </w:rPr>
        <w:t xml:space="preserve"> González-Ordóñez, Ismael</w:t>
      </w:r>
      <w:r w:rsidR="00951053" w:rsidRPr="00951053">
        <w:rPr>
          <w:rFonts w:ascii="Arial" w:eastAsia="Arial" w:hAnsi="Arial" w:cs="Arial"/>
          <w:b/>
          <w:sz w:val="20"/>
          <w:szCs w:val="20"/>
          <w:vertAlign w:val="superscript"/>
        </w:rPr>
        <w:t>1</w:t>
      </w:r>
      <w:r w:rsidR="00951053">
        <w:rPr>
          <w:rFonts w:ascii="Arial" w:eastAsia="Arial" w:hAnsi="Arial" w:cs="Arial"/>
          <w:b/>
          <w:sz w:val="20"/>
          <w:szCs w:val="20"/>
        </w:rPr>
        <w:t>; López-Fernández, Eva M.</w:t>
      </w:r>
      <w:r w:rsidR="00951053" w:rsidRPr="00951053">
        <w:rPr>
          <w:rFonts w:ascii="Arial" w:eastAsia="Arial" w:hAnsi="Arial" w:cs="Arial"/>
          <w:b/>
          <w:sz w:val="20"/>
          <w:szCs w:val="20"/>
          <w:vertAlign w:val="superscript"/>
        </w:rPr>
        <w:t>2</w:t>
      </w:r>
      <w:r w:rsidR="00951053">
        <w:rPr>
          <w:rFonts w:ascii="Arial" w:eastAsia="Arial" w:hAnsi="Arial" w:cs="Arial"/>
          <w:b/>
          <w:sz w:val="20"/>
          <w:szCs w:val="20"/>
        </w:rPr>
        <w:t>;</w:t>
      </w:r>
      <w:r>
        <w:rPr>
          <w:rFonts w:ascii="Arial" w:eastAsia="Arial" w:hAnsi="Arial" w:cs="Arial"/>
          <w:b/>
          <w:sz w:val="20"/>
          <w:szCs w:val="20"/>
        </w:rPr>
        <w:t xml:space="preserve"> Pérez-Jiménez, Amalia</w:t>
      </w:r>
      <w:r w:rsidR="00CA55B0" w:rsidRPr="00CA55B0">
        <w:rPr>
          <w:rFonts w:ascii="Arial" w:eastAsia="Arial" w:hAnsi="Arial" w:cs="Arial"/>
          <w:b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b/>
          <w:sz w:val="20"/>
          <w:szCs w:val="20"/>
        </w:rPr>
        <w:t>; Rufino-Palomares, Eva E.</w:t>
      </w:r>
      <w:r w:rsidR="00CA55B0" w:rsidRPr="00CA55B0">
        <w:rPr>
          <w:rFonts w:ascii="Arial" w:eastAsia="Arial" w:hAnsi="Arial" w:cs="Arial"/>
          <w:b/>
          <w:sz w:val="20"/>
          <w:szCs w:val="20"/>
          <w:vertAlign w:val="superscript"/>
        </w:rPr>
        <w:t>3</w:t>
      </w:r>
      <w:r>
        <w:rPr>
          <w:rFonts w:ascii="Arial" w:eastAsia="Arial" w:hAnsi="Arial" w:cs="Arial"/>
          <w:b/>
          <w:sz w:val="20"/>
          <w:szCs w:val="20"/>
        </w:rPr>
        <w:t>; Trenzado, Cristina E.</w:t>
      </w:r>
      <w:r w:rsidR="00CA55B0" w:rsidRPr="00CA55B0">
        <w:rPr>
          <w:rFonts w:ascii="Arial" w:eastAsia="Arial" w:hAnsi="Arial" w:cs="Arial"/>
          <w:b/>
          <w:sz w:val="20"/>
          <w:szCs w:val="20"/>
          <w:vertAlign w:val="superscript"/>
        </w:rPr>
        <w:t>1</w:t>
      </w:r>
    </w:p>
    <w:p w14:paraId="21E8D1FB" w14:textId="77777777" w:rsidR="00494B0D" w:rsidRDefault="00CA55B0" w:rsidP="00CA55B0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  <w:vertAlign w:val="superscript"/>
        </w:rPr>
        <w:t>1</w:t>
      </w:r>
      <w:r w:rsidRPr="00A87AB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 w:rsidRPr="00A87AB1">
        <w:rPr>
          <w:rFonts w:ascii="Arial" w:hAnsi="Arial" w:cs="Arial"/>
          <w:i/>
          <w:iCs/>
          <w:sz w:val="20"/>
          <w:szCs w:val="20"/>
        </w:rPr>
        <w:t>Dpto.</w:t>
      </w:r>
      <w:proofErr w:type="gramEnd"/>
      <w:r w:rsidRPr="00A87AB1">
        <w:rPr>
          <w:rFonts w:ascii="Arial" w:hAnsi="Arial" w:cs="Arial"/>
          <w:i/>
          <w:iCs/>
          <w:sz w:val="20"/>
          <w:szCs w:val="20"/>
        </w:rPr>
        <w:t xml:space="preserve"> de Biología Celular</w:t>
      </w:r>
      <w:r w:rsidR="00494B0D" w:rsidRPr="00A87AB1">
        <w:rPr>
          <w:rFonts w:ascii="Arial" w:hAnsi="Arial" w:cs="Arial"/>
          <w:i/>
          <w:iCs/>
          <w:sz w:val="20"/>
          <w:szCs w:val="20"/>
        </w:rPr>
        <w:t>, Facultad de Ciencias,</w:t>
      </w:r>
      <w:r w:rsidR="00494B0D" w:rsidRPr="00494B0D">
        <w:rPr>
          <w:rFonts w:ascii="Arial" w:hAnsi="Arial" w:cs="Arial"/>
          <w:i/>
          <w:iCs/>
          <w:sz w:val="20"/>
          <w:szCs w:val="20"/>
        </w:rPr>
        <w:t xml:space="preserve"> </w:t>
      </w:r>
      <w:r w:rsidR="00494B0D" w:rsidRPr="00A87AB1">
        <w:rPr>
          <w:rFonts w:ascii="Arial" w:hAnsi="Arial" w:cs="Arial"/>
          <w:i/>
          <w:iCs/>
          <w:sz w:val="20"/>
          <w:szCs w:val="20"/>
        </w:rPr>
        <w:t>Universidad de Granada</w:t>
      </w:r>
    </w:p>
    <w:p w14:paraId="7BCC49CB" w14:textId="77777777" w:rsidR="00494B0D" w:rsidRDefault="00CA55B0" w:rsidP="00CA55B0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  <w:vertAlign w:val="superscript"/>
        </w:rPr>
        <w:t xml:space="preserve">2 </w:t>
      </w:r>
      <w:proofErr w:type="gramStart"/>
      <w:r w:rsidR="00494B0D" w:rsidRPr="00A87AB1">
        <w:rPr>
          <w:rFonts w:ascii="Arial" w:hAnsi="Arial" w:cs="Arial"/>
          <w:i/>
          <w:iCs/>
          <w:sz w:val="20"/>
          <w:szCs w:val="20"/>
        </w:rPr>
        <w:t>Dpto.</w:t>
      </w:r>
      <w:proofErr w:type="gramEnd"/>
      <w:r w:rsidR="00494B0D" w:rsidRPr="00A87AB1">
        <w:rPr>
          <w:rFonts w:ascii="Arial" w:hAnsi="Arial" w:cs="Arial"/>
          <w:i/>
          <w:iCs/>
          <w:sz w:val="20"/>
          <w:szCs w:val="20"/>
        </w:rPr>
        <w:t xml:space="preserve"> de Bioquímica y Biología Molecular</w:t>
      </w:r>
      <w:r w:rsidR="00494B0D">
        <w:rPr>
          <w:rFonts w:ascii="Arial" w:hAnsi="Arial" w:cs="Arial"/>
          <w:i/>
          <w:iCs/>
          <w:sz w:val="20"/>
          <w:szCs w:val="20"/>
        </w:rPr>
        <w:t xml:space="preserve"> I</w:t>
      </w:r>
      <w:r w:rsidR="00494B0D" w:rsidRPr="00A87AB1">
        <w:rPr>
          <w:rFonts w:ascii="Arial" w:hAnsi="Arial" w:cs="Arial"/>
          <w:i/>
          <w:iCs/>
          <w:sz w:val="20"/>
          <w:szCs w:val="20"/>
        </w:rPr>
        <w:t>, Facultad de Ciencias</w:t>
      </w:r>
      <w:r w:rsidR="00494B0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A87AB1">
        <w:rPr>
          <w:rFonts w:ascii="Arial" w:hAnsi="Arial" w:cs="Arial"/>
          <w:i/>
          <w:iCs/>
          <w:sz w:val="20"/>
          <w:szCs w:val="20"/>
        </w:rPr>
        <w:t>Universidad de Granada</w:t>
      </w:r>
    </w:p>
    <w:p w14:paraId="6737F91D" w14:textId="77777777" w:rsidR="00CA55B0" w:rsidRPr="00A87AB1" w:rsidRDefault="00CA55B0" w:rsidP="00CA55B0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  <w:vertAlign w:val="superscript"/>
        </w:rPr>
        <w:t xml:space="preserve">3 </w:t>
      </w:r>
      <w:proofErr w:type="gramStart"/>
      <w:r w:rsidR="00494B0D" w:rsidRPr="00A87AB1">
        <w:rPr>
          <w:rFonts w:ascii="Arial" w:hAnsi="Arial" w:cs="Arial"/>
          <w:i/>
          <w:iCs/>
          <w:sz w:val="20"/>
          <w:szCs w:val="20"/>
        </w:rPr>
        <w:t>Dpto.</w:t>
      </w:r>
      <w:proofErr w:type="gramEnd"/>
      <w:r w:rsidR="00494B0D" w:rsidRPr="00A87AB1">
        <w:rPr>
          <w:rFonts w:ascii="Arial" w:hAnsi="Arial" w:cs="Arial"/>
          <w:i/>
          <w:iCs/>
          <w:sz w:val="20"/>
          <w:szCs w:val="20"/>
        </w:rPr>
        <w:t xml:space="preserve"> de Zoología, Facultad de Ciencias,</w:t>
      </w:r>
      <w:r w:rsidR="00494B0D">
        <w:rPr>
          <w:rFonts w:ascii="Arial" w:hAnsi="Arial" w:cs="Arial"/>
          <w:i/>
          <w:iCs/>
          <w:sz w:val="20"/>
          <w:szCs w:val="20"/>
        </w:rPr>
        <w:t xml:space="preserve"> </w:t>
      </w:r>
      <w:r w:rsidRPr="00A87AB1">
        <w:rPr>
          <w:rFonts w:ascii="Arial" w:hAnsi="Arial" w:cs="Arial"/>
          <w:i/>
          <w:iCs/>
          <w:sz w:val="20"/>
          <w:szCs w:val="20"/>
        </w:rPr>
        <w:t xml:space="preserve">Universidad de Granada </w:t>
      </w:r>
    </w:p>
    <w:p w14:paraId="695CBDDA" w14:textId="77777777" w:rsidR="00D517B1" w:rsidRDefault="00D517B1">
      <w:pPr>
        <w:spacing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5EC38C0" w14:textId="2D0BD566" w:rsidR="00D517B1" w:rsidRDefault="00000000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ortiguilla de mar (</w:t>
      </w:r>
      <w:r>
        <w:rPr>
          <w:rFonts w:ascii="Arial" w:eastAsia="Arial" w:hAnsi="Arial" w:cs="Arial"/>
          <w:i/>
          <w:sz w:val="20"/>
          <w:szCs w:val="20"/>
        </w:rPr>
        <w:t>Anemonia viridis</w:t>
      </w:r>
      <w:r>
        <w:rPr>
          <w:rFonts w:ascii="Arial" w:eastAsia="Arial" w:hAnsi="Arial" w:cs="Arial"/>
          <w:sz w:val="20"/>
          <w:szCs w:val="20"/>
        </w:rPr>
        <w:t xml:space="preserve">) es un cnidario de interés comercial cuyas poblaciones en Andalucía occidental están en regresión debido al </w:t>
      </w:r>
      <w:r w:rsidR="00752300">
        <w:rPr>
          <w:rFonts w:ascii="Arial" w:eastAsia="Arial" w:hAnsi="Arial" w:cs="Arial"/>
          <w:sz w:val="20"/>
          <w:szCs w:val="20"/>
        </w:rPr>
        <w:t>impacto</w:t>
      </w:r>
      <w:r>
        <w:rPr>
          <w:rFonts w:ascii="Arial" w:eastAsia="Arial" w:hAnsi="Arial" w:cs="Arial"/>
          <w:sz w:val="20"/>
          <w:szCs w:val="20"/>
        </w:rPr>
        <w:t xml:space="preserve"> de olas de calor marinas, competencia con especies invasoras y sobreexplotación. </w:t>
      </w:r>
      <w:r w:rsidR="00A16D72">
        <w:rPr>
          <w:rFonts w:ascii="Arial" w:eastAsia="Arial" w:hAnsi="Arial" w:cs="Arial"/>
          <w:sz w:val="20"/>
          <w:szCs w:val="20"/>
        </w:rPr>
        <w:t>Su gran capacidad regenerativa permite que se reproduzcan asexualmente</w:t>
      </w:r>
      <w:r w:rsidR="004E4814">
        <w:rPr>
          <w:rFonts w:ascii="Arial" w:eastAsia="Arial" w:hAnsi="Arial" w:cs="Arial"/>
          <w:sz w:val="20"/>
          <w:szCs w:val="20"/>
        </w:rPr>
        <w:t>, produciendo individuos clonales</w:t>
      </w:r>
      <w:r w:rsidR="00A16D72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 xml:space="preserve">La reproducción de este organismo en cautividad es clave para desarrollar su acuicultura. El objetivo de este trabajo fue examinar la viabilidad de inducir la reproducción asexual en </w:t>
      </w:r>
      <w:r>
        <w:rPr>
          <w:rFonts w:ascii="Arial" w:eastAsia="Arial" w:hAnsi="Arial" w:cs="Arial"/>
          <w:i/>
          <w:sz w:val="20"/>
          <w:szCs w:val="20"/>
        </w:rPr>
        <w:t>A. viridis</w:t>
      </w:r>
      <w:r>
        <w:rPr>
          <w:rFonts w:ascii="Arial" w:eastAsia="Arial" w:hAnsi="Arial" w:cs="Arial"/>
          <w:sz w:val="20"/>
          <w:szCs w:val="20"/>
        </w:rPr>
        <w:t>, mediante análisis de</w:t>
      </w:r>
      <w:r w:rsidR="009575C3">
        <w:rPr>
          <w:rFonts w:ascii="Arial" w:eastAsia="Arial" w:hAnsi="Arial" w:cs="Arial"/>
          <w:sz w:val="20"/>
          <w:szCs w:val="20"/>
        </w:rPr>
        <w:t xml:space="preserve"> la respuesta </w:t>
      </w:r>
      <w:r>
        <w:rPr>
          <w:rFonts w:ascii="Arial" w:eastAsia="Arial" w:hAnsi="Arial" w:cs="Arial"/>
          <w:sz w:val="20"/>
          <w:szCs w:val="20"/>
        </w:rPr>
        <w:t xml:space="preserve">antioxidante y parámetros inmunológicos. Como parte del proyecto </w:t>
      </w:r>
      <w:r w:rsidRPr="00E96749">
        <w:rPr>
          <w:rFonts w:ascii="Arial" w:eastAsia="Arial" w:hAnsi="Arial" w:cs="Arial"/>
          <w:sz w:val="20"/>
          <w:szCs w:val="20"/>
        </w:rPr>
        <w:t>ORTIMAR</w:t>
      </w:r>
      <w:r w:rsidR="000C5336" w:rsidRPr="00E96749">
        <w:rPr>
          <w:rFonts w:ascii="Arial" w:eastAsia="Arial" w:hAnsi="Arial" w:cs="Arial"/>
          <w:sz w:val="20"/>
          <w:szCs w:val="20"/>
        </w:rPr>
        <w:t xml:space="preserve"> (</w:t>
      </w:r>
      <w:r w:rsidR="00E96749" w:rsidRPr="00E96749">
        <w:rPr>
          <w:rFonts w:ascii="Arial" w:eastAsia="Arial" w:hAnsi="Arial" w:cs="Arial"/>
          <w:sz w:val="20"/>
          <w:szCs w:val="20"/>
        </w:rPr>
        <w:t>Fundación Biodiversidad</w:t>
      </w:r>
      <w:r w:rsidR="000C5336" w:rsidRPr="00E96749">
        <w:rPr>
          <w:rFonts w:ascii="Arial" w:eastAsia="Arial" w:hAnsi="Arial" w:cs="Arial"/>
          <w:sz w:val="20"/>
          <w:szCs w:val="20"/>
        </w:rPr>
        <w:t>)</w:t>
      </w:r>
      <w:r w:rsidRPr="00E96749">
        <w:rPr>
          <w:rFonts w:ascii="Arial" w:eastAsia="Arial" w:hAnsi="Arial" w:cs="Arial"/>
          <w:sz w:val="20"/>
          <w:szCs w:val="20"/>
        </w:rPr>
        <w:t>, se</w:t>
      </w:r>
      <w:r>
        <w:rPr>
          <w:rFonts w:ascii="Arial" w:eastAsia="Arial" w:hAnsi="Arial" w:cs="Arial"/>
          <w:sz w:val="20"/>
          <w:szCs w:val="20"/>
        </w:rPr>
        <w:t xml:space="preserve"> mantuvieron 300 ejemplares de anémona en un sistema RAS-IMTA exterior. </w:t>
      </w:r>
      <w:r w:rsidR="009575C3">
        <w:rPr>
          <w:rFonts w:ascii="Arial" w:eastAsia="Arial" w:hAnsi="Arial" w:cs="Arial"/>
          <w:sz w:val="20"/>
          <w:szCs w:val="20"/>
        </w:rPr>
        <w:t xml:space="preserve">Se indujo la </w:t>
      </w:r>
      <w:r w:rsidR="0052180C">
        <w:rPr>
          <w:rFonts w:ascii="Arial" w:eastAsia="Arial" w:hAnsi="Arial" w:cs="Arial"/>
          <w:sz w:val="20"/>
          <w:szCs w:val="20"/>
        </w:rPr>
        <w:t>reproducción por fisión de p</w:t>
      </w:r>
      <w:r>
        <w:rPr>
          <w:rFonts w:ascii="Arial" w:eastAsia="Arial" w:hAnsi="Arial" w:cs="Arial"/>
          <w:sz w:val="20"/>
          <w:szCs w:val="20"/>
        </w:rPr>
        <w:t xml:space="preserve">arte de las anémonas, mientras </w:t>
      </w:r>
      <w:r w:rsidR="0052180C">
        <w:rPr>
          <w:rFonts w:ascii="Arial" w:eastAsia="Arial" w:hAnsi="Arial" w:cs="Arial"/>
          <w:sz w:val="20"/>
          <w:szCs w:val="20"/>
        </w:rPr>
        <w:t xml:space="preserve">que </w:t>
      </w:r>
      <w:r>
        <w:rPr>
          <w:rFonts w:ascii="Arial" w:eastAsia="Arial" w:hAnsi="Arial" w:cs="Arial"/>
          <w:sz w:val="20"/>
          <w:szCs w:val="20"/>
        </w:rPr>
        <w:t xml:space="preserve">el resto constituyó el grupo control. Se tomaron muestras de columna y tentáculo en dos puntos temporales: 4 semanas después del procedimiento (T1) y 16 semanas después (T2). </w:t>
      </w:r>
      <w:r w:rsidR="00363F99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 determinó la actividad de las enzimas superóxido dismutasa (SOD), catalasa (CAT), glutatión-peroxidasa (GPx), glutatión</w:t>
      </w:r>
      <w:r w:rsidR="00363F99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reductasa (GR), glucosa-6-fosfato deshidrogenasa (G6PDH), glutatión-S-transferasa (GST), DT-</w:t>
      </w:r>
      <w:proofErr w:type="spellStart"/>
      <w:r>
        <w:rPr>
          <w:rFonts w:ascii="Arial" w:eastAsia="Arial" w:hAnsi="Arial" w:cs="Arial"/>
          <w:sz w:val="20"/>
          <w:szCs w:val="20"/>
        </w:rPr>
        <w:t>diaforasa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(DTD), fosfatasa ácida (FA), fosfatasa alcalina (</w:t>
      </w:r>
      <w:proofErr w:type="spellStart"/>
      <w:r>
        <w:rPr>
          <w:rFonts w:ascii="Arial" w:eastAsia="Arial" w:hAnsi="Arial" w:cs="Arial"/>
          <w:sz w:val="20"/>
          <w:szCs w:val="20"/>
        </w:rPr>
        <w:t>F</w:t>
      </w:r>
      <w:r w:rsidR="00876415">
        <w:rPr>
          <w:rFonts w:ascii="Arial" w:eastAsia="Arial" w:hAnsi="Arial" w:cs="Arial"/>
          <w:sz w:val="20"/>
          <w:szCs w:val="20"/>
        </w:rPr>
        <w:t>Al</w:t>
      </w:r>
      <w:proofErr w:type="spellEnd"/>
      <w:r>
        <w:rPr>
          <w:rFonts w:ascii="Arial" w:eastAsia="Arial" w:hAnsi="Arial" w:cs="Arial"/>
          <w:sz w:val="20"/>
          <w:szCs w:val="20"/>
        </w:rPr>
        <w:t>) y mieloperoxidasa (</w:t>
      </w:r>
      <w:proofErr w:type="spellStart"/>
      <w:r>
        <w:rPr>
          <w:rFonts w:ascii="Arial" w:eastAsia="Arial" w:hAnsi="Arial" w:cs="Arial"/>
          <w:sz w:val="20"/>
          <w:szCs w:val="20"/>
        </w:rPr>
        <w:t>MPx</w:t>
      </w:r>
      <w:proofErr w:type="spellEnd"/>
      <w:r>
        <w:rPr>
          <w:rFonts w:ascii="Arial" w:eastAsia="Arial" w:hAnsi="Arial" w:cs="Arial"/>
          <w:sz w:val="20"/>
          <w:szCs w:val="20"/>
        </w:rPr>
        <w:t>). También se determinó el nivel de malondialdehído (MDA), y la capacidad antioxidante total (T</w:t>
      </w:r>
      <w:r w:rsidR="0052180C"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AC). Se </w:t>
      </w:r>
      <w:r w:rsidR="00E96749">
        <w:rPr>
          <w:rFonts w:ascii="Arial" w:eastAsia="Arial" w:hAnsi="Arial" w:cs="Arial"/>
          <w:sz w:val="20"/>
          <w:szCs w:val="20"/>
        </w:rPr>
        <w:t>contrastó</w:t>
      </w:r>
      <w:r>
        <w:rPr>
          <w:rFonts w:ascii="Arial" w:eastAsia="Arial" w:hAnsi="Arial" w:cs="Arial"/>
          <w:sz w:val="20"/>
          <w:szCs w:val="20"/>
        </w:rPr>
        <w:t xml:space="preserve"> el efecto de</w:t>
      </w:r>
      <w:r w:rsidR="004E4814">
        <w:rPr>
          <w:rFonts w:ascii="Arial" w:eastAsia="Arial" w:hAnsi="Arial" w:cs="Arial"/>
          <w:sz w:val="20"/>
          <w:szCs w:val="20"/>
        </w:rPr>
        <w:t xml:space="preserve">l procedimiento </w:t>
      </w:r>
      <w:r>
        <w:rPr>
          <w:rFonts w:ascii="Arial" w:eastAsia="Arial" w:hAnsi="Arial" w:cs="Arial"/>
          <w:sz w:val="20"/>
          <w:szCs w:val="20"/>
        </w:rPr>
        <w:t xml:space="preserve">y del </w:t>
      </w:r>
      <w:r w:rsidR="00E96749">
        <w:rPr>
          <w:rFonts w:ascii="Arial" w:eastAsia="Arial" w:hAnsi="Arial" w:cs="Arial"/>
          <w:sz w:val="20"/>
          <w:szCs w:val="20"/>
        </w:rPr>
        <w:t>tiempo</w:t>
      </w:r>
      <w:r>
        <w:rPr>
          <w:rFonts w:ascii="Arial" w:eastAsia="Arial" w:hAnsi="Arial" w:cs="Arial"/>
          <w:sz w:val="20"/>
          <w:szCs w:val="20"/>
        </w:rPr>
        <w:t xml:space="preserve"> sobre los parámetros </w:t>
      </w:r>
      <w:r w:rsidR="004E4814">
        <w:rPr>
          <w:rFonts w:ascii="Arial" w:eastAsia="Arial" w:hAnsi="Arial" w:cs="Arial"/>
          <w:sz w:val="20"/>
          <w:szCs w:val="20"/>
        </w:rPr>
        <w:t xml:space="preserve">medidos </w:t>
      </w:r>
      <w:r>
        <w:rPr>
          <w:rFonts w:ascii="Arial" w:eastAsia="Arial" w:hAnsi="Arial" w:cs="Arial"/>
          <w:sz w:val="20"/>
          <w:szCs w:val="20"/>
        </w:rPr>
        <w:t xml:space="preserve">mediante ANOVA de 2-vías, y se realizó un análisis de componentes principales (PCA). </w:t>
      </w:r>
      <w:r w:rsidR="00E96749">
        <w:rPr>
          <w:rFonts w:ascii="Arial" w:eastAsia="Arial" w:hAnsi="Arial" w:cs="Arial"/>
          <w:sz w:val="20"/>
          <w:szCs w:val="20"/>
        </w:rPr>
        <w:t>El procedimiento</w:t>
      </w:r>
      <w:r>
        <w:rPr>
          <w:rFonts w:ascii="Arial" w:eastAsia="Arial" w:hAnsi="Arial" w:cs="Arial"/>
          <w:sz w:val="20"/>
          <w:szCs w:val="20"/>
        </w:rPr>
        <w:t xml:space="preserve"> tuvo una mortalidad del 8% e incrementó la actividad antioxidante (principalmente</w:t>
      </w:r>
      <w:r w:rsidR="00E9674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CAT, GPx y GR), pero frecuentemente </w:t>
      </w:r>
      <w:r w:rsidR="00E96749">
        <w:rPr>
          <w:rFonts w:ascii="Arial" w:eastAsia="Arial" w:hAnsi="Arial" w:cs="Arial"/>
          <w:sz w:val="20"/>
          <w:szCs w:val="20"/>
        </w:rPr>
        <w:t>se recuperaron</w:t>
      </w:r>
      <w:r>
        <w:rPr>
          <w:rFonts w:ascii="Arial" w:eastAsia="Arial" w:hAnsi="Arial" w:cs="Arial"/>
          <w:sz w:val="20"/>
          <w:szCs w:val="20"/>
        </w:rPr>
        <w:t xml:space="preserve"> niveles similares al </w:t>
      </w:r>
      <w:r w:rsidR="000C5336">
        <w:rPr>
          <w:rFonts w:ascii="Arial" w:eastAsia="Arial" w:hAnsi="Arial" w:cs="Arial"/>
          <w:sz w:val="20"/>
          <w:szCs w:val="20"/>
        </w:rPr>
        <w:t xml:space="preserve">grupo </w:t>
      </w:r>
      <w:r>
        <w:rPr>
          <w:rFonts w:ascii="Arial" w:eastAsia="Arial" w:hAnsi="Arial" w:cs="Arial"/>
          <w:sz w:val="20"/>
          <w:szCs w:val="20"/>
        </w:rPr>
        <w:t xml:space="preserve">control </w:t>
      </w:r>
      <w:r w:rsidR="00A16D72">
        <w:rPr>
          <w:rFonts w:ascii="Arial" w:eastAsia="Arial" w:hAnsi="Arial" w:cs="Arial"/>
          <w:sz w:val="20"/>
          <w:szCs w:val="20"/>
        </w:rPr>
        <w:t>en T2</w:t>
      </w:r>
      <w:r>
        <w:rPr>
          <w:rFonts w:ascii="Arial" w:eastAsia="Arial" w:hAnsi="Arial" w:cs="Arial"/>
          <w:sz w:val="20"/>
          <w:szCs w:val="20"/>
        </w:rPr>
        <w:t xml:space="preserve">, sugiriendo la reversibilidad de estas alteraciones. Las anémonas regeneradas no mostraron mayor </w:t>
      </w:r>
      <w:r w:rsidR="00363F99">
        <w:rPr>
          <w:rFonts w:ascii="Arial" w:eastAsia="Arial" w:hAnsi="Arial" w:cs="Arial"/>
          <w:sz w:val="20"/>
          <w:szCs w:val="20"/>
        </w:rPr>
        <w:t>MDA</w:t>
      </w:r>
      <w:r>
        <w:rPr>
          <w:rFonts w:ascii="Arial" w:eastAsia="Arial" w:hAnsi="Arial" w:cs="Arial"/>
          <w:sz w:val="20"/>
          <w:szCs w:val="20"/>
        </w:rPr>
        <w:t xml:space="preserve"> que el control, indicando que la movilización antioxidante fue eficaz previniendo el daño oxidativo a lípidos</w:t>
      </w:r>
      <w:r w:rsidR="00876415">
        <w:rPr>
          <w:rFonts w:ascii="Arial" w:eastAsia="Arial" w:hAnsi="Arial" w:cs="Arial"/>
          <w:sz w:val="20"/>
          <w:szCs w:val="20"/>
        </w:rPr>
        <w:t xml:space="preserve"> a las 4 semanas</w:t>
      </w:r>
      <w:r>
        <w:rPr>
          <w:rFonts w:ascii="Arial" w:eastAsia="Arial" w:hAnsi="Arial" w:cs="Arial"/>
          <w:sz w:val="20"/>
          <w:szCs w:val="20"/>
        </w:rPr>
        <w:t>.</w:t>
      </w:r>
      <w:r w:rsidR="00876415">
        <w:rPr>
          <w:rFonts w:ascii="Arial" w:eastAsia="Arial" w:hAnsi="Arial" w:cs="Arial"/>
          <w:sz w:val="20"/>
          <w:szCs w:val="20"/>
        </w:rPr>
        <w:t xml:space="preserve"> E</w:t>
      </w:r>
      <w:r>
        <w:rPr>
          <w:rFonts w:ascii="Arial" w:eastAsia="Arial" w:hAnsi="Arial" w:cs="Arial"/>
          <w:sz w:val="20"/>
          <w:szCs w:val="20"/>
        </w:rPr>
        <w:t>l PCA reveló una tendencia a mayor actividad columnar de fosfatasas</w:t>
      </w:r>
      <w:r w:rsidR="00363F99">
        <w:rPr>
          <w:rFonts w:ascii="Arial" w:eastAsia="Arial" w:hAnsi="Arial" w:cs="Arial"/>
          <w:sz w:val="20"/>
          <w:szCs w:val="20"/>
        </w:rPr>
        <w:t xml:space="preserve"> y</w:t>
      </w:r>
      <w:r>
        <w:rPr>
          <w:rFonts w:ascii="Arial" w:eastAsia="Arial" w:hAnsi="Arial" w:cs="Arial"/>
          <w:sz w:val="20"/>
          <w:szCs w:val="20"/>
        </w:rPr>
        <w:t xml:space="preserve"> CAT, y menor </w:t>
      </w:r>
      <w:proofErr w:type="spellStart"/>
      <w:r>
        <w:rPr>
          <w:rFonts w:ascii="Arial" w:eastAsia="Arial" w:hAnsi="Arial" w:cs="Arial"/>
          <w:sz w:val="20"/>
          <w:szCs w:val="20"/>
        </w:rPr>
        <w:t>MPx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en anémonas seccionadas</w:t>
      </w:r>
      <w:r w:rsidR="00876415">
        <w:rPr>
          <w:rFonts w:ascii="Arial" w:eastAsia="Arial" w:hAnsi="Arial" w:cs="Arial"/>
          <w:sz w:val="20"/>
          <w:szCs w:val="20"/>
        </w:rPr>
        <w:t xml:space="preserve">. En el punto T1, las anémonas seccionadas también se diferenciaron del resto por una mayor actividad </w:t>
      </w:r>
      <w:r w:rsidR="004A0469">
        <w:rPr>
          <w:rFonts w:ascii="Arial" w:eastAsia="Arial" w:hAnsi="Arial" w:cs="Arial"/>
          <w:sz w:val="20"/>
          <w:szCs w:val="20"/>
        </w:rPr>
        <w:t>GST y DTD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="000C5336">
        <w:rPr>
          <w:rFonts w:ascii="Arial" w:eastAsia="Arial" w:hAnsi="Arial" w:cs="Arial"/>
          <w:sz w:val="20"/>
          <w:szCs w:val="20"/>
        </w:rPr>
        <w:t xml:space="preserve">Se </w:t>
      </w:r>
      <w:r w:rsidR="004F061E">
        <w:rPr>
          <w:rFonts w:ascii="Arial" w:eastAsia="Arial" w:hAnsi="Arial" w:cs="Arial"/>
          <w:sz w:val="20"/>
          <w:szCs w:val="20"/>
        </w:rPr>
        <w:t>concluye</w:t>
      </w:r>
      <w:r w:rsidR="000C5336">
        <w:rPr>
          <w:rFonts w:ascii="Arial" w:eastAsia="Arial" w:hAnsi="Arial" w:cs="Arial"/>
          <w:sz w:val="20"/>
          <w:szCs w:val="20"/>
        </w:rPr>
        <w:t xml:space="preserve"> que el procedimiento de </w:t>
      </w:r>
      <w:r>
        <w:rPr>
          <w:rFonts w:ascii="Arial" w:eastAsia="Arial" w:hAnsi="Arial" w:cs="Arial"/>
          <w:sz w:val="20"/>
          <w:szCs w:val="20"/>
        </w:rPr>
        <w:t xml:space="preserve">inducción </w:t>
      </w:r>
      <w:r w:rsidR="000C5336">
        <w:rPr>
          <w:rFonts w:ascii="Arial" w:eastAsia="Arial" w:hAnsi="Arial" w:cs="Arial"/>
          <w:sz w:val="20"/>
          <w:szCs w:val="20"/>
        </w:rPr>
        <w:t xml:space="preserve">a la </w:t>
      </w:r>
      <w:r>
        <w:rPr>
          <w:rFonts w:ascii="Arial" w:eastAsia="Arial" w:hAnsi="Arial" w:cs="Arial"/>
          <w:sz w:val="20"/>
          <w:szCs w:val="20"/>
        </w:rPr>
        <w:t xml:space="preserve">reproducción asexual es viable y no produce alteraciones irreversibles en el metabolismo antioxidante o sistema inmune de </w:t>
      </w:r>
      <w:r w:rsidRPr="00363F99">
        <w:rPr>
          <w:rFonts w:ascii="Arial" w:eastAsia="Arial" w:hAnsi="Arial" w:cs="Arial"/>
          <w:i/>
          <w:iCs/>
          <w:sz w:val="20"/>
          <w:szCs w:val="20"/>
        </w:rPr>
        <w:t>A. viridis</w:t>
      </w:r>
      <w:r w:rsidR="0052180C">
        <w:rPr>
          <w:rFonts w:ascii="Arial" w:eastAsia="Arial" w:hAnsi="Arial" w:cs="Arial"/>
          <w:sz w:val="20"/>
          <w:szCs w:val="20"/>
        </w:rPr>
        <w:t xml:space="preserve"> en el rango de tiempo estudiado.</w:t>
      </w:r>
    </w:p>
    <w:p w14:paraId="7249EE72" w14:textId="77777777" w:rsidR="00363F99" w:rsidRDefault="00363F99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14:paraId="194D7D4F" w14:textId="77777777" w:rsidR="00D517B1" w:rsidRDefault="00000000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Palabras clave: Acuicultura, </w:t>
      </w:r>
      <w:r>
        <w:rPr>
          <w:rFonts w:ascii="Arial" w:eastAsia="Arial" w:hAnsi="Arial" w:cs="Arial"/>
          <w:i/>
          <w:sz w:val="20"/>
          <w:szCs w:val="20"/>
        </w:rPr>
        <w:t>Anemonia viridis</w:t>
      </w:r>
      <w:r>
        <w:rPr>
          <w:rFonts w:ascii="Arial" w:eastAsia="Arial" w:hAnsi="Arial" w:cs="Arial"/>
          <w:sz w:val="20"/>
          <w:szCs w:val="20"/>
        </w:rPr>
        <w:t>, Cnidaria, estrés oxidativo, IMTA, reproducción asexual</w:t>
      </w:r>
    </w:p>
    <w:p w14:paraId="4CCCF6C5" w14:textId="77777777" w:rsidR="00D517B1" w:rsidRDefault="00000000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Alberto Coll Fernández. Tel.: 608318441; dirección de correo electrónico: albertocoll@ugr.es</w:t>
      </w:r>
    </w:p>
    <w:p w14:paraId="6E23D0CF" w14:textId="77777777" w:rsidR="00D517B1" w:rsidRDefault="00363F99">
      <w:pPr>
        <w:spacing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C8F2D4A" wp14:editId="3BC93318">
            <wp:simplePos x="0" y="0"/>
            <wp:positionH relativeFrom="column">
              <wp:posOffset>-879269</wp:posOffset>
            </wp:positionH>
            <wp:positionV relativeFrom="paragraph">
              <wp:posOffset>196215</wp:posOffset>
            </wp:positionV>
            <wp:extent cx="7145870" cy="1956130"/>
            <wp:effectExtent l="0" t="0" r="0" b="0"/>
            <wp:wrapNone/>
            <wp:docPr id="2116519003" name="image1.png" descr="Interfaz de usuario gráfica, Sitio web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terfaz de usuario gráfica, Sitio web&#10;&#10;El contenido generado por IA puede ser incorrecto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5870" cy="1956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0E8EF5" w14:textId="77777777" w:rsidR="00D517B1" w:rsidRDefault="00000000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D517B1">
      <w:headerReference w:type="default" r:id="rId8"/>
      <w:footerReference w:type="default" r:id="rId9"/>
      <w:pgSz w:w="11907" w:h="16840"/>
      <w:pgMar w:top="1701" w:right="1701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2EF9D" w14:textId="77777777" w:rsidR="00BF3891" w:rsidRDefault="00BF3891">
      <w:r>
        <w:separator/>
      </w:r>
    </w:p>
  </w:endnote>
  <w:endnote w:type="continuationSeparator" w:id="0">
    <w:p w14:paraId="10B53DE9" w14:textId="77777777" w:rsidR="00BF3891" w:rsidRDefault="00BF3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BB3EB" w14:textId="77777777" w:rsidR="00D517B1" w:rsidRDefault="00D517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0FE1F3B9" w14:textId="77777777" w:rsidR="00D517B1" w:rsidRDefault="00D517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77089" w14:textId="77777777" w:rsidR="00BF3891" w:rsidRDefault="00BF3891">
      <w:r>
        <w:separator/>
      </w:r>
    </w:p>
  </w:footnote>
  <w:footnote w:type="continuationSeparator" w:id="0">
    <w:p w14:paraId="164AF7B7" w14:textId="77777777" w:rsidR="00BF3891" w:rsidRDefault="00BF3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222DD" w14:textId="77777777" w:rsidR="00D517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ED751E7" wp14:editId="256E1816">
          <wp:simplePos x="0" y="0"/>
          <wp:positionH relativeFrom="column">
            <wp:posOffset>-665978</wp:posOffset>
          </wp:positionH>
          <wp:positionV relativeFrom="paragraph">
            <wp:posOffset>-190913</wp:posOffset>
          </wp:positionV>
          <wp:extent cx="6973570" cy="820034"/>
          <wp:effectExtent l="0" t="0" r="0" b="0"/>
          <wp:wrapNone/>
          <wp:docPr id="211651900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73570" cy="8200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B1"/>
    <w:rsid w:val="000C5336"/>
    <w:rsid w:val="00112890"/>
    <w:rsid w:val="00184064"/>
    <w:rsid w:val="00363F99"/>
    <w:rsid w:val="003F1032"/>
    <w:rsid w:val="0044171F"/>
    <w:rsid w:val="00494B0D"/>
    <w:rsid w:val="004A0469"/>
    <w:rsid w:val="004E4814"/>
    <w:rsid w:val="004F061E"/>
    <w:rsid w:val="0052180C"/>
    <w:rsid w:val="00670ABE"/>
    <w:rsid w:val="00687C91"/>
    <w:rsid w:val="0069410F"/>
    <w:rsid w:val="006E206C"/>
    <w:rsid w:val="007252E5"/>
    <w:rsid w:val="0074271E"/>
    <w:rsid w:val="00752300"/>
    <w:rsid w:val="00821009"/>
    <w:rsid w:val="00876415"/>
    <w:rsid w:val="00951053"/>
    <w:rsid w:val="009575C3"/>
    <w:rsid w:val="00A16D72"/>
    <w:rsid w:val="00AC08FF"/>
    <w:rsid w:val="00BF3891"/>
    <w:rsid w:val="00CA55B0"/>
    <w:rsid w:val="00D517B1"/>
    <w:rsid w:val="00E96749"/>
    <w:rsid w:val="00F95B5D"/>
    <w:rsid w:val="00FC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7BA4C"/>
  <w15:docId w15:val="{18102180-2E22-4F6B-9491-FCF2590F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uiPriority w:val="99"/>
    <w:unhideWhenUsed/>
    <w:rsid w:val="00F6257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4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991"/>
    <w:rPr>
      <w:rFonts w:ascii="Tahoma" w:eastAsia="MS Mincho" w:hAnsi="Tahoma" w:cs="Tahoma"/>
      <w:sz w:val="16"/>
      <w:szCs w:val="16"/>
      <w:lang w:val="en-GB" w:eastAsia="ja-JP"/>
    </w:rPr>
  </w:style>
  <w:style w:type="character" w:styleId="Mencinsinresolver">
    <w:name w:val="Unresolved Mention"/>
    <w:basedOn w:val="Fuentedeprrafopredeter"/>
    <w:uiPriority w:val="99"/>
    <w:semiHidden/>
    <w:unhideWhenUsed/>
    <w:rsid w:val="0084122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D71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7122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Piedepgina">
    <w:name w:val="footer"/>
    <w:basedOn w:val="Normal"/>
    <w:link w:val="PiedepginaCar"/>
    <w:uiPriority w:val="99"/>
    <w:unhideWhenUsed/>
    <w:rsid w:val="001D71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122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0C533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533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533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53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533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C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Et+XK9QDYa7vz+Fnq1ChqPlYMg==">CgMxLjA4AHIhMWc0dkFpWEZQdUlwM0U2M3NtWkFkcnVyOTBjbjN1eXZM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collfernandezalberto@gmail.com</cp:lastModifiedBy>
  <cp:revision>6</cp:revision>
  <dcterms:created xsi:type="dcterms:W3CDTF">2025-09-29T20:24:00Z</dcterms:created>
  <dcterms:modified xsi:type="dcterms:W3CDTF">2025-09-29T20:42:00Z</dcterms:modified>
</cp:coreProperties>
</file>