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76"/>
        <w:jc w:val="both"/>
        <w:rPr>
          <w:rFonts w:ascii="Calibri Light" w:hAnsi="Calibri Light" w:asciiTheme="majorHAnsi" w:hAnsiTheme="majorHAnsi"/>
          <w:sz w:val="32"/>
          <w:szCs w:val="32"/>
          <w:lang w:val="en-IE"/>
        </w:rPr>
      </w:pPr>
      <w:r>
        <w:rPr>
          <w:rFonts w:asciiTheme="majorHAnsi" w:hAnsiTheme="majorHAnsi"/>
          <w:sz w:val="32"/>
          <w:szCs w:val="32"/>
          <w:lang w:val="en-IE"/>
        </w:rPr>
        <w:t>1. Introduction</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-Anemonia viridis as food item and restrictions in Andalusia and Spain.</w:t>
      </w:r>
    </w:p>
    <w:p>
      <w:pPr>
        <w:pStyle w:val="Standard"/>
        <w:spacing w:lineRule="auto" w:line="276"/>
        <w:jc w:val="both"/>
        <w:rPr>
          <w:lang w:val="en-IE"/>
        </w:rPr>
      </w:pPr>
      <w:r>
        <w:rPr>
          <w:lang w:val="en-IE"/>
        </w:rPr>
        <w:t>-Reproduction modes in A. viridis, birradial symmetry and anatomy.</w:t>
      </w:r>
    </w:p>
    <w:p>
      <w:pPr>
        <w:pStyle w:val="Standard"/>
        <w:spacing w:lineRule="auto" w:line="276"/>
        <w:jc w:val="both"/>
        <w:rPr>
          <w:lang w:val="en-IE"/>
        </w:rPr>
      </w:pPr>
      <w:r>
        <w:rPr>
          <w:lang w:val="en-IE"/>
        </w:rPr>
        <w:t>- Integrated multitrophic aquaculture. Sustainability. Do not focus on this unless the journal calls for it.</w:t>
      </w:r>
    </w:p>
    <w:p>
      <w:pPr>
        <w:pStyle w:val="Standard"/>
        <w:spacing w:lineRule="auto" w:line="276"/>
        <w:jc w:val="both"/>
        <w:rPr>
          <w:lang w:val="en-IE"/>
        </w:rPr>
      </w:pPr>
      <w:r>
        <w:rPr>
          <w:lang w:val="en-IE"/>
        </w:rPr>
        <w:t>- Oxidative stress as a marker of wellbeing in aquaculture.</w:t>
      </w:r>
    </w:p>
    <w:p>
      <w:pPr>
        <w:pStyle w:val="Standard"/>
        <w:spacing w:lineRule="auto" w:line="276"/>
        <w:jc w:val="both"/>
        <w:rPr>
          <w:lang w:val="en-IE"/>
        </w:rPr>
      </w:pPr>
      <w:r>
        <w:rPr>
          <w:lang w:val="en-IE"/>
        </w:rPr>
      </w:r>
    </w:p>
    <w:p>
      <w:pPr>
        <w:pStyle w:val="Standard"/>
        <w:spacing w:lineRule="auto" w:line="276"/>
        <w:jc w:val="both"/>
        <w:rPr>
          <w:rFonts w:ascii="Calibri Light" w:hAnsi="Calibri Light" w:asciiTheme="majorHAnsi" w:hAnsiTheme="majorHAnsi"/>
          <w:sz w:val="32"/>
          <w:szCs w:val="32"/>
          <w:lang w:val="en-IE"/>
        </w:rPr>
      </w:pPr>
      <w:r>
        <w:rPr>
          <w:rFonts w:asciiTheme="majorHAnsi" w:hAnsiTheme="majorHAnsi"/>
          <w:sz w:val="32"/>
          <w:szCs w:val="32"/>
          <w:lang w:val="en-IE"/>
        </w:rPr>
        <w:t>2. Materials and methods</w:t>
      </w:r>
    </w:p>
    <w:p>
      <w:pPr>
        <w:pStyle w:val="Standard"/>
        <w:spacing w:lineRule="auto" w:line="276"/>
        <w:jc w:val="both"/>
        <w:rPr>
          <w:rFonts w:ascii="Calibri Light" w:hAnsi="Calibri Light" w:asciiTheme="majorHAnsi" w:hAnsiTheme="majorHAnsi"/>
          <w:lang w:val="en-IE"/>
        </w:rPr>
      </w:pPr>
      <w:r>
        <w:rPr>
          <w:rFonts w:asciiTheme="majorHAnsi" w:hAnsiTheme="majorHAnsi"/>
          <w:lang w:val="en-IE"/>
        </w:rPr>
      </w:r>
    </w:p>
    <w:p>
      <w:pPr>
        <w:pStyle w:val="Standard"/>
        <w:spacing w:lineRule="auto" w:line="276"/>
        <w:jc w:val="both"/>
        <w:rPr>
          <w:rFonts w:ascii="Calibri Light" w:hAnsi="Calibri Light" w:asciiTheme="majorHAnsi" w:hAnsiTheme="majorHAnsi"/>
          <w:sz w:val="28"/>
          <w:szCs w:val="28"/>
          <w:lang w:val="en-IE"/>
        </w:rPr>
      </w:pPr>
      <w:r>
        <w:rPr>
          <w:rFonts w:asciiTheme="majorHAnsi" w:hAnsiTheme="majorHAnsi"/>
          <w:sz w:val="28"/>
          <w:szCs w:val="28"/>
          <w:lang w:val="en-IE"/>
        </w:rPr>
        <w:t>2.1. Experimental design and sampling</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 xml:space="preserve">300 wild anemones were obtained from natural environments off the coast of Granada (Andalusia, Spain) </w:t>
      </w:r>
      <w:r>
        <w:rPr>
          <w:lang w:val="en-IE"/>
        </w:rPr>
        <w:t>in November</w:t>
      </w:r>
      <w:r>
        <w:rPr>
          <w:lang w:val="en-IE"/>
        </w:rPr>
        <w:t xml:space="preserve"> 2020 with the pertinent permits from local authorities. Animals were transferred to facilities of Andalmar Biotech S.L., where they were distributed in floating baskets in a concrete 16 m3 outdoor tank. The tank was equipped with a recirculation system consisting of a mechanic sand filter, biological filter with 300 m</w:t>
      </w:r>
      <w:r>
        <w:rPr>
          <w:vertAlign w:val="superscript"/>
          <w:lang w:val="en-IE"/>
        </w:rPr>
        <w:t>2</w:t>
      </w:r>
      <w:r>
        <w:rPr>
          <w:lang w:val="en-IE"/>
        </w:rPr>
        <w:t>/m</w:t>
      </w:r>
      <w:r>
        <w:rPr>
          <w:vertAlign w:val="superscript"/>
          <w:lang w:val="en-IE"/>
        </w:rPr>
        <w:t>3</w:t>
      </w:r>
      <w:r>
        <w:rPr>
          <w:lang w:val="en-IE"/>
        </w:rPr>
        <w:t xml:space="preserve"> bio-balls and protein skimmer. Natural seawater was pumped from a well in the facilities and then filtered to be used in the circuit. </w:t>
      </w:r>
      <w:r>
        <w:rPr>
          <w:lang w:val="en-IE"/>
        </w:rPr>
        <w:t xml:space="preserve">Salinity and pH were monitored during the experimental period, centred around 34.8 </w:t>
      </w:r>
      <w:r>
        <w:rPr>
          <w:rFonts w:eastAsia="Calibri Light" w:cs="Calibri Light" w:ascii="Calibri Light" w:hAnsi="Calibri Light"/>
          <w:lang w:val="en-IE"/>
        </w:rPr>
        <w:t>‰</w:t>
      </w:r>
      <w:r>
        <w:rPr>
          <w:lang w:val="en-IE"/>
        </w:rPr>
        <w:t xml:space="preserve"> and pH 8. Water temperature varied with ambient temperature, with an overall mean of 17.5 º C through the study.</w:t>
      </w:r>
    </w:p>
    <w:p>
      <w:pPr>
        <w:pStyle w:val="Standard"/>
        <w:spacing w:lineRule="auto" w:line="276"/>
        <w:jc w:val="both"/>
        <w:rPr>
          <w:lang w:val="en-IE"/>
        </w:rPr>
      </w:pPr>
      <w:r>
        <w:rPr>
          <w:shd w:fill="C6FAF5" w:val="clear"/>
          <w:lang w:val="en-IE"/>
        </w:rPr>
      </w:r>
    </w:p>
    <w:p>
      <w:pPr>
        <w:pStyle w:val="Standard"/>
        <w:spacing w:lineRule="auto" w:line="276"/>
        <w:jc w:val="both"/>
        <w:rPr>
          <w:lang w:val="en-IE"/>
        </w:rPr>
      </w:pPr>
      <w:r>
        <w:rPr>
          <w:lang w:val="en-IE"/>
        </w:rPr>
        <w:t>Anemones were distributed in 11.8 L floating baskets at a density of 20 individuals per basket, making a total of 15 baskets. An IMTA set up was established by introducing selected organisms in the tank: beadlet anemones (</w:t>
      </w:r>
      <w:r>
        <w:rPr>
          <w:i/>
          <w:iCs/>
          <w:lang w:val="en-IE"/>
        </w:rPr>
        <w:t>Actinia equina</w:t>
      </w:r>
      <w:r>
        <w:rPr>
          <w:lang w:val="en-IE"/>
        </w:rPr>
        <w:t>), sea urchins (</w:t>
      </w:r>
      <w:r>
        <w:rPr>
          <w:i/>
          <w:iCs/>
          <w:lang w:val="en-IE"/>
        </w:rPr>
        <w:t>Paracentrotus lividus</w:t>
      </w:r>
      <w:r>
        <w:rPr>
          <w:lang w:val="en-IE"/>
        </w:rPr>
        <w:t xml:space="preserve">, </w:t>
      </w:r>
      <w:r>
        <w:rPr>
          <w:i/>
          <w:iCs/>
          <w:lang w:val="en-IE"/>
        </w:rPr>
        <w:t>Arbacia lixula</w:t>
      </w:r>
      <w:r>
        <w:rPr>
          <w:lang w:val="en-IE"/>
        </w:rPr>
        <w:t>), sea snails (</w:t>
      </w:r>
      <w:r>
        <w:rPr>
          <w:rStyle w:val="Emphasis"/>
          <w:lang w:val="en-IE"/>
        </w:rPr>
        <w:t>Monodonta turbinata</w:t>
      </w:r>
      <w:r>
        <w:rPr>
          <w:lang w:val="en-IE"/>
        </w:rPr>
        <w:t>), limpets (</w:t>
      </w:r>
      <w:r>
        <w:rPr>
          <w:i/>
          <w:iCs/>
          <w:lang w:val="en-IE"/>
        </w:rPr>
        <w:t>Patella caerulela</w:t>
      </w:r>
      <w:r>
        <w:rPr>
          <w:lang w:val="en-IE"/>
        </w:rPr>
        <w:t>), sea cucumbers (</w:t>
      </w:r>
      <w:r>
        <w:rPr>
          <w:i/>
          <w:iCs/>
          <w:lang w:val="en-IE"/>
        </w:rPr>
        <w:t>Holothuria tubulosa</w:t>
      </w:r>
      <w:r>
        <w:rPr>
          <w:lang w:val="en-IE"/>
        </w:rPr>
        <w:t>), mussels (</w:t>
      </w:r>
      <w:r>
        <w:rPr>
          <w:i/>
          <w:iCs/>
          <w:lang w:val="en-IE"/>
        </w:rPr>
        <w:t>Mytillus edulis</w:t>
      </w:r>
      <w:r>
        <w:rPr>
          <w:lang w:val="en-IE"/>
        </w:rPr>
        <w:t>), and macroalgae (</w:t>
      </w:r>
      <w:r>
        <w:rPr>
          <w:i/>
          <w:iCs/>
          <w:lang w:val="en-IE"/>
        </w:rPr>
        <w:t>Ulva rigida</w:t>
      </w:r>
      <w:r>
        <w:rPr>
          <w:lang w:val="en-IE"/>
        </w:rPr>
        <w:t xml:space="preserve">, </w:t>
      </w:r>
      <w:r>
        <w:rPr>
          <w:i/>
          <w:iCs/>
          <w:lang w:val="en-IE"/>
        </w:rPr>
        <w:t>Cystoseira mediterranea</w:t>
      </w:r>
      <w:r>
        <w:rPr>
          <w:shd w:fill="FFFFCC" w:val="clear"/>
          <w:lang w:val="en-IE"/>
        </w:rPr>
        <w:t xml:space="preserve">) </w:t>
      </w:r>
      <w:sdt>
        <w:sdtPr>
          <w:placeholder>
            <w:docPart w:val="76D6049F808548EAAB8416EAF88FFAE8"/>
          </w:placeholde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sdtPr>
        <w:sdtContent>
          <w:r>
            <w:rPr>
              <w:shd w:fill="FFFFCC" w:val="clear"/>
              <w:lang w:val="en-IE"/>
            </w:rPr>
          </w:r>
          <w:r>
            <w:rPr>
              <w:shd w:fill="FFFFCC" w:val="clear"/>
              <w:lang w:val="en-IE"/>
            </w:rPr>
            <w:t>(Coll et al., 2025)</w:t>
          </w:r>
        </w:sdtContent>
      </w:sdt>
      <w:r>
        <w:rPr>
          <w:shd w:fill="FFFFCC" w:val="clear"/>
          <w:lang w:val="en-IE"/>
        </w:rPr>
        <w:t>.</w:t>
      </w:r>
      <w:r>
        <w:rPr>
          <w:lang w:val="en-IE"/>
        </w:rPr>
        <w:t xml:space="preserve"> </w:t>
      </w:r>
      <w:r>
        <w:rPr>
          <w:shd w:fill="CCFFCC" w:val="clear"/>
          <w:lang w:val="en-IE"/>
        </w:rPr>
        <w:t>Table 1</w:t>
      </w:r>
      <w:r>
        <w:rPr>
          <w:shd w:fill="D4FD9D" w:val="clear"/>
          <w:lang w:val="en-IE"/>
        </w:rPr>
        <w:t xml:space="preserve"> </w:t>
      </w:r>
      <w:r>
        <w:rPr>
          <w:lang w:val="en-IE"/>
        </w:rPr>
        <w:t>summarizes the composition and initial stock density of the multi-trophic environment.</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Table 1</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 xml:space="preserve">After acclimation to the </w:t>
      </w:r>
      <w:r>
        <w:rPr>
          <w:lang w:val="en-IE"/>
        </w:rPr>
        <w:t>aquaculture conditions for one month</w:t>
      </w:r>
      <w:r>
        <w:rPr>
          <w:lang w:val="en-IE"/>
        </w:rPr>
        <w:t xml:space="preserve">, </w:t>
      </w:r>
      <w:r>
        <w:rPr>
          <w:shd w:fill="CCFFFF" w:val="clear"/>
          <w:lang w:val="en-IE"/>
        </w:rPr>
        <w:t>(Nº)</w:t>
      </w:r>
      <w:r>
        <w:rPr>
          <w:lang w:val="en-IE"/>
        </w:rPr>
        <w:t xml:space="preserve"> anemones from different baskets were selected as experimental group, and they were sectioned in two through their pharyngeal biradial axis. Each of the resulting halves was </w:t>
      </w:r>
      <w:r>
        <w:rPr>
          <w:lang w:val="en-IE"/>
        </w:rPr>
        <w:t xml:space="preserve">separated </w:t>
      </w:r>
      <w:r>
        <w:rPr>
          <w:lang w:val="en-IE"/>
        </w:rPr>
        <w:t xml:space="preserve">and left to heal, so as to generate two different clonal individuals. </w:t>
      </w:r>
      <w:r>
        <w:rPr>
          <w:lang w:val="en-IE"/>
        </w:rPr>
        <w:t>Mortality during the healing phase was recorded.</w:t>
      </w:r>
    </w:p>
    <w:p>
      <w:pPr>
        <w:pStyle w:val="Standard"/>
        <w:spacing w:lineRule="auto" w:line="276"/>
        <w:jc w:val="both"/>
        <w:rPr>
          <w:lang w:val="en-IE"/>
        </w:rPr>
      </w:pPr>
      <w:r>
        <w:rPr/>
      </w:r>
    </w:p>
    <w:p>
      <w:pPr>
        <w:pStyle w:val="Standard"/>
        <w:spacing w:lineRule="auto" w:line="276"/>
        <w:jc w:val="both"/>
        <w:rPr>
          <w:lang w:val="en-IE"/>
        </w:rPr>
      </w:pPr>
      <w:r>
        <w:rPr>
          <w:lang w:val="en-IE"/>
        </w:rPr>
        <w:t>Sampling</w:t>
      </w:r>
      <w:r>
        <w:rPr>
          <w:lang w:val="en-IE"/>
        </w:rPr>
        <w:t>s</w:t>
      </w:r>
      <w:r>
        <w:rPr>
          <w:lang w:val="en-IE"/>
        </w:rPr>
        <w:t xml:space="preserve"> </w:t>
      </w:r>
      <w:r>
        <w:rPr>
          <w:lang w:val="en-IE"/>
        </w:rPr>
        <w:t>were</w:t>
      </w:r>
      <w:r>
        <w:rPr>
          <w:lang w:val="en-IE"/>
        </w:rPr>
        <w:t xml:space="preserve"> carried out at two different temporal stages. The first sampling (T0) took place </w:t>
      </w:r>
      <w:r>
        <w:rPr>
          <w:lang w:val="en-IE"/>
        </w:rPr>
        <w:t>in January 2021</w:t>
      </w:r>
      <w:r>
        <w:rPr>
          <w:lang w:val="en-IE"/>
        </w:rPr>
        <w:t xml:space="preserve">, once the anemones had had time to heal completely. 9 sectioned anemones from different baskets were selected, as well as 9 control anemones which had not undergone the procedure. Sectioned anemones were identified at all times to ensure that sampled individuals would not include both clones obtained from the same parent anemone. The second sampling (T1) took place </w:t>
      </w:r>
      <w:r>
        <w:rPr>
          <w:lang w:val="en-IE"/>
        </w:rPr>
        <w:t>in April 2021,</w:t>
      </w:r>
      <w:r>
        <w:rPr>
          <w:lang w:val="en-IE"/>
        </w:rPr>
        <w:t xml:space="preserve"> </w:t>
      </w:r>
      <w:r>
        <w:rPr>
          <w:lang w:val="en-IE"/>
        </w:rPr>
        <w:t>when</w:t>
      </w:r>
      <w:r>
        <w:rPr>
          <w:lang w:val="en-IE"/>
        </w:rPr>
        <w:t xml:space="preserve"> again 9 control anemones and 9 sectioned anemones were collected with the same regards over clonal anemones.</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At both sampling events, each anemone was snap-frozen in liquid nitrogen and stored at -80 ºC. The column and tentacles of each individual was homogenized separately (Heidolph Instruments) in 100 mM Tris, 0.1 EDTA and 0.1% Triton buffer (pH 7.8) at a 1:4 ratio (w/v). Extracts were then centrifuged at 16 000 rpm for 30 minutes at 4ºC (Sigma 3 K30), and the supernatant was collected and stored at -80 ºC for posterior analysis.</w:t>
      </w:r>
    </w:p>
    <w:p>
      <w:pPr>
        <w:pStyle w:val="Standard"/>
        <w:spacing w:lineRule="auto" w:line="276"/>
        <w:jc w:val="both"/>
        <w:rPr>
          <w:lang w:val="en-IE"/>
        </w:rPr>
      </w:pPr>
      <w:r>
        <w:rPr>
          <w:lang w:val="en-IE"/>
        </w:rPr>
      </w:r>
    </w:p>
    <w:p>
      <w:pPr>
        <w:pStyle w:val="Standard"/>
        <w:spacing w:lineRule="auto" w:line="276"/>
        <w:jc w:val="both"/>
        <w:rPr>
          <w:rFonts w:ascii="Calibri Light" w:hAnsi="Calibri Light" w:asciiTheme="majorHAnsi" w:hAnsiTheme="majorHAnsi"/>
          <w:sz w:val="28"/>
          <w:szCs w:val="28"/>
          <w:lang w:val="en-IE"/>
        </w:rPr>
      </w:pPr>
      <w:r>
        <w:rPr>
          <w:rFonts w:asciiTheme="majorHAnsi" w:hAnsiTheme="majorHAnsi"/>
          <w:sz w:val="28"/>
          <w:szCs w:val="28"/>
          <w:lang w:val="en-IE"/>
        </w:rPr>
        <w:t>2.2. Oxidative status assays</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 xml:space="preserve">Superoxide dismutase (SOD) (EC 1.15.1.1) activity was determined according </w:t>
      </w:r>
      <w:r>
        <w:rPr>
          <w:shd w:fill="FFF2CC" w:val="clear"/>
          <w:lang w:val="en-IE"/>
        </w:rPr>
        <w:t xml:space="preserve">to </w:t>
      </w:r>
      <w:sdt>
        <w:sdtPr>
          <w:placeholder>
            <w:docPart w:val="DefaultPlaceholder_-1854013440"/>
          </w:placeholde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sdtPr>
        <w:sdtContent>
          <w:r>
            <w:rPr>
              <w:shd w:fill="FFF2CC" w:val="clear"/>
              <w:lang w:val="en-IE"/>
            </w:rPr>
          </w:r>
          <w:r>
            <w:rPr>
              <w:rFonts w:eastAsia="Times New Roman"/>
              <w:color w:val="000000"/>
              <w:shd w:fill="FFF2CC" w:val="clear"/>
              <w:lang w:val="en-IE"/>
            </w:rPr>
            <w:t>McCord &amp; Fridovich (1969)</w:t>
          </w:r>
        </w:sdtContent>
      </w:sdt>
      <w:r>
        <w:rPr>
          <w:lang w:val="en-IE"/>
        </w:rPr>
        <w:t xml:space="preserve"> method, consisting on an indirect measurement as the degree of inhibition of cytochrome c reduction. Determination of catalase (CAT) (EC 1.11.1.6) activity was performed using </w:t>
      </w:r>
      <w:sdt>
        <w:sdtPr>
          <w:placeholder>
            <w:docPart w:val="DefaultPlaceholder_-1854013440"/>
          </w:placeholde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sdtPr>
        <w:sdtContent>
          <w:r>
            <w:rPr>
              <w:lang w:val="en-IE"/>
            </w:rPr>
          </w:r>
          <w:r>
            <w:rPr>
              <w:color w:val="000000"/>
              <w:shd w:fill="FFF2CC" w:val="clear"/>
              <w:lang w:val="en-IE"/>
            </w:rPr>
            <w:t>Aebi (1984)</w:t>
          </w:r>
        </w:sdtContent>
      </w:sdt>
      <w:r>
        <w:rPr>
          <w:lang w:val="en-IE"/>
        </w:rPr>
        <w:t xml:space="preserve"> method, based on the decrease in absorbance produced by H</w:t>
      </w:r>
      <w:r>
        <w:rPr>
          <w:vertAlign w:val="subscript"/>
          <w:lang w:val="en-IE"/>
        </w:rPr>
        <w:t>2</w:t>
      </w:r>
      <w:r>
        <w:rPr>
          <w:lang w:val="en-IE"/>
        </w:rPr>
        <w:t>O</w:t>
      </w:r>
      <w:r>
        <w:rPr>
          <w:vertAlign w:val="subscript"/>
          <w:lang w:val="en-IE"/>
        </w:rPr>
        <w:t>2</w:t>
      </w:r>
      <w:r>
        <w:rPr>
          <w:lang w:val="en-IE"/>
        </w:rPr>
        <w:t xml:space="preserve"> consumption by this enzyme.</w:t>
      </w:r>
    </w:p>
    <w:p>
      <w:pPr>
        <w:pStyle w:val="Standard"/>
        <w:spacing w:lineRule="auto" w:line="276"/>
        <w:jc w:val="both"/>
        <w:rPr>
          <w:lang w:val="en-IE"/>
        </w:rPr>
      </w:pPr>
      <w:r>
        <w:rPr>
          <w:lang w:val="en-IE"/>
        </w:rPr>
      </w:r>
    </w:p>
    <w:p>
      <w:pPr>
        <w:pStyle w:val="Standard"/>
        <w:tabs>
          <w:tab w:val="clear" w:pos="709"/>
          <w:tab w:val="left" w:pos="851" w:leader="none"/>
        </w:tabs>
        <w:spacing w:lineRule="auto" w:line="276"/>
        <w:jc w:val="both"/>
        <w:rPr>
          <w:lang w:val="en-IE"/>
        </w:rPr>
      </w:pPr>
      <w:r>
        <w:rPr>
          <w:lang w:val="en-IE"/>
        </w:rPr>
        <w:t xml:space="preserve">Glutathione peroxidase (GPx) (EC 1.11.1.9) activity of the samples was determined </w:t>
      </w:r>
      <w:r>
        <w:rPr>
          <w:shd w:fill="FFF2CC" w:val="clear"/>
          <w:lang w:val="en-IE"/>
        </w:rPr>
        <w:t xml:space="preserve">following </w:t>
      </w:r>
      <w:sdt>
        <w:sdtPr>
          <w:placeholder>
            <w:docPart w:val="DefaultPlaceholder_-1854013440"/>
          </w:placeholde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sdtPr>
        <w:sdtContent>
          <w:r>
            <w:rPr>
              <w:shd w:fill="FFF2CC" w:val="clear"/>
              <w:lang w:val="en-IE"/>
            </w:rPr>
          </w:r>
          <w:r>
            <w:rPr>
              <w:rFonts w:eastAsia="Times New Roman"/>
              <w:color w:val="000000"/>
              <w:shd w:fill="FFF2CC" w:val="clear"/>
              <w:lang w:val="en-IE"/>
            </w:rPr>
            <w:t>Flohé &amp; Günzler (1984)</w:t>
          </w:r>
        </w:sdtContent>
      </w:sdt>
      <w:r>
        <w:rPr>
          <w:lang w:val="en-IE"/>
        </w:rPr>
        <w:t xml:space="preserve">, based on an indirect measurement of NADPH oxidation, generated by its coupling with a standard glutathione reductase (GR) (EC 1.8.1.7) reaction. GR activity was measured according </w:t>
      </w:r>
      <w:r>
        <w:rPr>
          <w:shd w:fill="FFF2CC" w:val="clear"/>
          <w:lang w:val="en-IE"/>
        </w:rPr>
        <w:t xml:space="preserve">to </w:t>
      </w:r>
      <w:sdt>
        <w:sdtPr>
          <w:placeholder>
            <w:docPart w:val="DefaultPlaceholder_-1854013440"/>
          </w:placeholde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sdtPr>
        <w:sdtContent>
          <w:r>
            <w:rPr>
              <w:shd w:fill="FFF2CC" w:val="clear"/>
              <w:lang w:val="en-IE"/>
            </w:rPr>
          </w:r>
          <w:r>
            <w:rPr>
              <w:rFonts w:eastAsia="Times New Roman"/>
              <w:color w:val="000000"/>
              <w:shd w:fill="FFF2CC" w:val="clear"/>
              <w:lang w:val="en-IE"/>
            </w:rPr>
            <w:t>Carlberg &amp; Mannervik (1975)</w:t>
          </w:r>
        </w:sdtContent>
      </w:sdt>
      <w:r>
        <w:rPr>
          <w:lang w:val="en-IE"/>
        </w:rPr>
        <w:t xml:space="preserve"> method, consisting on a measure of the absorbance decrement caused by NADPH oxidation. Glucose 6-phosphate dehydrogenase (G6PDH) (EC 1.1.1.49) activity of the samples was obtained using a modified method </w:t>
      </w:r>
      <w:r>
        <w:rPr>
          <w:shd w:fill="FFF2CC" w:val="clear"/>
          <w:lang w:val="en-IE"/>
        </w:rPr>
        <w:t>of</w:t>
      </w:r>
      <w:r>
        <w:rPr>
          <w:lang w:val="en-IE"/>
        </w:rPr>
        <w:t xml:space="preserve"> </w:t>
      </w:r>
      <w:sdt>
        <w:sdtPr>
          <w:placeholder>
            <w:docPart w:val="DefaultPlaceholder_-1854013440"/>
          </w:placeholde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sdtPr>
        <w:sdtContent>
          <w:r>
            <w:rPr>
              <w:lang w:val="en-IE"/>
            </w:rPr>
          </w:r>
          <w:r>
            <w:rPr>
              <w:rFonts w:eastAsia="Times New Roman"/>
              <w:color w:val="000000"/>
              <w:shd w:fill="FFF2CC" w:val="clear"/>
              <w:lang w:val="en-IE"/>
            </w:rPr>
            <w:t>Löhr &amp; Waller (1965)</w:t>
          </w:r>
        </w:sdtContent>
      </w:sdt>
      <w:r>
        <w:rPr>
          <w:lang w:val="en-IE"/>
        </w:rPr>
        <w:t>,</w:t>
      </w:r>
      <w:r>
        <w:rPr>
          <w:lang w:val="en-IE"/>
        </w:rPr>
        <w:t xml:space="preserve"> based on recording the change in absorbance due to NADPH production by the enzyme.</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 xml:space="preserve">Determination of glutathione S-transferase (GST) (EC 2.5.1.18) activity was performed following the method </w:t>
      </w:r>
      <w:r>
        <w:rPr>
          <w:shd w:fill="FFF2CC" w:val="clear"/>
          <w:lang w:val="en-IE"/>
        </w:rPr>
        <w:t>of</w:t>
      </w:r>
      <w:r>
        <w:rPr>
          <w:lang w:val="en-IE"/>
        </w:rPr>
        <w:t xml:space="preserve"> </w:t>
      </w:r>
      <w:sdt>
        <w:sdtPr>
          <w:placeholder>
            <w:docPart w:val="DefaultPlaceholder_-1854013440"/>
          </w:placeholde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sdtPr>
        <w:sdtContent>
          <w:r>
            <w:rPr>
              <w:lang w:val="en-IE"/>
            </w:rPr>
          </w:r>
          <w:r>
            <w:rPr>
              <w:rFonts w:eastAsia="Times New Roman"/>
              <w:color w:val="000000"/>
              <w:lang w:val="en-IE"/>
            </w:rPr>
            <w:t>Frasco &amp; Guilhermino (2002)</w:t>
          </w:r>
        </w:sdtContent>
      </w:sdt>
      <w:r>
        <w:rPr>
          <w:lang w:val="en-IE"/>
        </w:rPr>
        <w:t xml:space="preserve">, based on the formation of a conjugate between glutathione and 2,4-dinitrochlorobenzene that increases absorbance. DT-diaphorase (DTD) (EC 1.6.99.2) activity was determined using a modified method of </w:t>
      </w:r>
      <w:sdt>
        <w:sdtPr>
          <w:placeholder>
            <w:docPart w:val="DefaultPlaceholder_-1854013440"/>
          </w:placeholde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sdtPr>
        <w:sdtContent>
          <w:r>
            <w:rPr>
              <w:lang w:val="en-IE"/>
            </w:rPr>
          </w:r>
          <w:r>
            <w:rPr>
              <w:color w:val="000000"/>
              <w:shd w:fill="FFF2CC" w:val="clear"/>
              <w:lang w:val="en-IE"/>
            </w:rPr>
            <w:t>Lemaire et al. (1996)</w:t>
          </w:r>
        </w:sdtContent>
      </w:sdt>
      <w:r>
        <w:rPr>
          <w:lang w:val="en-IE"/>
        </w:rPr>
        <w:t>, based on the reduction of 2,6-dichlorophenol indophenol, that results in a decrease in absorbance.</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 xml:space="preserve">Soluble protein content of the samples was quantified following </w:t>
      </w:r>
      <w:sdt>
        <w:sdtPr>
          <w:placeholder>
            <w:docPart w:val="DefaultPlaceholder_-1854013440"/>
          </w:placeholde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sdtPr>
        <w:sdtContent>
          <w:r>
            <w:rPr>
              <w:lang w:val="en-IE"/>
            </w:rPr>
          </w:r>
          <w:r>
            <w:rPr>
              <w:color w:val="000000"/>
              <w:shd w:fill="FFF2CC" w:val="clear"/>
              <w:lang w:val="en-IE"/>
            </w:rPr>
            <w:t>Bradford (1976)</w:t>
          </w:r>
        </w:sdtContent>
      </w:sdt>
      <w:r>
        <w:rPr>
          <w:lang w:val="en-IE"/>
        </w:rPr>
        <w:t xml:space="preserve"> method in order to express enzymatic activities as specific activity. Units of activity was defined as the amount of enzyme required to transform one </w:t>
      </w:r>
      <w:r>
        <w:rPr>
          <w:rFonts w:cs="Cambria" w:ascii="Cambria" w:hAnsi="Cambria"/>
          <w:lang w:val="en-IE"/>
        </w:rPr>
        <w:t>μ</w:t>
      </w:r>
      <w:r>
        <w:rPr>
          <w:lang w:val="en-IE"/>
        </w:rPr>
        <w:t xml:space="preserve">mol of substrate per minute under the measurement conditions </w:t>
      </w:r>
      <w:sdt>
        <w:sdtPr>
          <w:placeholder>
            <w:docPart w:val="DefaultPlaceholder_-1854013440"/>
          </w:placeholde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sdtPr>
        <w:sdtContent>
          <w:r>
            <w:rPr>
              <w:lang w:val="en-IE"/>
            </w:rPr>
          </w:r>
          <w:r>
            <w:rPr>
              <w:color w:val="000000"/>
              <w:shd w:fill="FFF2CC" w:val="clear"/>
              <w:lang w:val="en-IE"/>
            </w:rPr>
            <w:t>(Coll et al., 2025)</w:t>
          </w:r>
        </w:sdtContent>
      </w:sdt>
      <w:r>
        <w:rPr>
          <w:lang w:val="en-IE"/>
        </w:rPr>
        <w:t>. For SOD, units of activity had a different definition, as the amount of enzyme required to generate a 50% inhibition in the reduction of cytochrome c.</w:t>
      </w:r>
    </w:p>
    <w:p>
      <w:pPr>
        <w:pStyle w:val="Standard"/>
        <w:spacing w:lineRule="auto" w:line="276"/>
        <w:jc w:val="both"/>
        <w:rPr>
          <w:lang w:val="en-IE"/>
        </w:rPr>
      </w:pPr>
      <w:r>
        <w:rPr>
          <w:lang w:val="en-IE"/>
        </w:rPr>
      </w:r>
    </w:p>
    <w:p>
      <w:pPr>
        <w:pStyle w:val="Standard"/>
        <w:spacing w:lineRule="auto" w:line="276"/>
        <w:jc w:val="both"/>
        <w:rPr>
          <w:lang w:val="en-IE"/>
        </w:rPr>
      </w:pPr>
      <w:sdt>
        <w:sdtPr>
          <w:placeholder>
            <w:docPart w:val="DefaultPlaceholder_-1854013440"/>
          </w:placeholde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sdtPr>
        <w:sdtContent>
          <w:r>
            <w:rPr>
              <w:color w:val="000000"/>
              <w:shd w:fill="FFF2CC" w:val="clear"/>
              <w:lang w:val="en-IE"/>
            </w:rPr>
          </w:r>
          <w:r>
            <w:rPr>
              <w:color w:val="000000"/>
              <w:shd w:fill="FFF2CC" w:val="clear"/>
              <w:lang w:val="en-IE"/>
            </w:rPr>
            <w:t>Erel (2004)</w:t>
          </w:r>
        </w:sdtContent>
      </w:sdt>
      <w:r>
        <w:rPr>
          <w:lang w:val="en-IE"/>
        </w:rPr>
        <w:t xml:space="preserve"> method, based on the change of absorbance due to reduction of 2,2</w:t>
      </w:r>
      <w:r>
        <w:rPr>
          <w:rFonts w:ascii="Times New Roman" w:hAnsi="Times New Roman"/>
          <w:lang w:val="en-IE"/>
        </w:rPr>
        <w:t>′</w:t>
      </w:r>
      <w:r>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Pr>
          <w:shd w:fill="FFF2CC" w:val="clear"/>
          <w:lang w:val="en-IE"/>
        </w:rPr>
        <w:t>from</w:t>
      </w:r>
      <w:r>
        <w:rPr>
          <w:lang w:val="en-IE"/>
        </w:rPr>
        <w:t xml:space="preserve"> </w:t>
      </w:r>
      <w:sdt>
        <w:sdtPr>
          <w:placeholder>
            <w:docPart w:val="DefaultPlaceholder_-1854013440"/>
          </w:placeholde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sdtPr>
        <w:sdtContent>
          <w:r>
            <w:rPr>
              <w:lang w:val="en-IE"/>
            </w:rPr>
          </w:r>
          <w:r>
            <w:rPr>
              <w:rFonts w:eastAsia="Times New Roman"/>
              <w:color w:val="000000"/>
              <w:lang w:val="en-IE"/>
            </w:rPr>
            <w:t>Buege &amp; Aust (1978)</w:t>
          </w:r>
        </w:sdtContent>
      </w:sdt>
      <w:r>
        <w:rPr>
          <w:lang w:val="en-IE"/>
        </w:rPr>
        <w:t xml:space="preserve"> and using malondialdehyde (MDA) as a standard.</w:t>
      </w:r>
    </w:p>
    <w:p>
      <w:pPr>
        <w:pStyle w:val="Standard"/>
        <w:spacing w:lineRule="auto" w:line="276"/>
        <w:jc w:val="both"/>
        <w:rPr>
          <w:lang w:val="en-IE"/>
        </w:rPr>
      </w:pPr>
      <w:r>
        <w:rPr>
          <w:lang w:val="en-IE"/>
        </w:rPr>
      </w:r>
    </w:p>
    <w:p>
      <w:pPr>
        <w:pStyle w:val="Standard"/>
        <w:spacing w:lineRule="auto" w:line="276"/>
        <w:jc w:val="both"/>
        <w:rPr>
          <w:sz w:val="28"/>
          <w:szCs w:val="28"/>
          <w:lang w:val="en-IE"/>
        </w:rPr>
      </w:pPr>
      <w:r>
        <w:rPr>
          <w:sz w:val="28"/>
          <w:szCs w:val="28"/>
          <w:lang w:val="en-IE"/>
        </w:rPr>
        <w:t>2.3. Non-specific immune parameters</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 xml:space="preserve">Acid (EC 3.1.3.2) and alkaline (EC 3.1.3.1) phosphatases (AP and AlP) activity were measured following the method used </w:t>
      </w:r>
      <w:r>
        <w:rPr>
          <w:shd w:fill="FFF2CC" w:val="clear"/>
          <w:lang w:val="en-IE"/>
        </w:rPr>
        <w:t>by</w:t>
      </w:r>
      <w:r>
        <w:rPr>
          <w:lang w:val="en-IE"/>
        </w:rPr>
        <w:t xml:space="preserve"> </w:t>
      </w:r>
      <w:sdt>
        <w:sdtPr>
          <w:placeholder>
            <w:docPart w:val="DefaultPlaceholder_-1854013440"/>
          </w:placeholde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sdtPr>
        <w:sdtContent>
          <w:r>
            <w:rPr>
              <w:lang w:val="en-IE"/>
            </w:rPr>
          </w:r>
          <w:r>
            <w:rPr>
              <w:rFonts w:eastAsia="Times New Roman"/>
              <w:color w:val="000000"/>
              <w:lang w:val="en-IE"/>
            </w:rPr>
            <w:t>Easy &amp; Ross (2010)</w:t>
          </w:r>
        </w:sdtContent>
      </w:sdt>
      <w:r>
        <w:rPr>
          <w:lang w:val="en-IE"/>
        </w:rPr>
        <w:t xml:space="preserve"> and </w:t>
      </w:r>
      <w:sdt>
        <w:sdtPr>
          <w:placeholder>
            <w:docPart w:val="DefaultPlaceholder_-1854013440"/>
          </w:placeholde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sdtPr>
        <w:sdtContent>
          <w:r>
            <w:rPr>
              <w:lang w:val="en-IE"/>
            </w:rPr>
          </w:r>
          <w:r>
            <w:rPr>
              <w:color w:val="000000"/>
              <w:shd w:fill="FFF2CC" w:val="clear"/>
              <w:lang w:val="en-IE"/>
            </w:rPr>
            <w:t>Huang et al. (2011)</w:t>
          </w:r>
        </w:sdtContent>
      </w:sdt>
      <w:r>
        <w:rPr>
          <w:lang w:val="en-IE"/>
        </w:rPr>
        <w:t xml:space="preserve">, based on the change of absorbance at 405 nm produced by the activity of the enzyme on p-nitrophenyl at different </w:t>
      </w:r>
      <w:r>
        <w:rPr>
          <w:lang w:val="en-IE"/>
        </w:rPr>
        <w:t xml:space="preserve">pH. Lysozyme activity (EC 3.2.1.17) was determined according to </w:t>
      </w:r>
      <w:sdt>
        <w:sdtPr>
          <w:placeholder>
            <w:docPart w:val="DefaultPlaceholder_-1854013440"/>
          </w:placeholde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sdtPr>
        <w:sdtContent>
          <w:r>
            <w:rPr>
              <w:lang w:val="en-IE"/>
            </w:rPr>
          </w:r>
          <w:r>
            <w:rPr>
              <w:color w:val="000000"/>
              <w:shd w:fill="FFF2CC" w:val="clear"/>
              <w:lang w:val="en-IE"/>
            </w:rPr>
            <w:t>Swain et al. (2007)</w:t>
          </w:r>
        </w:sdtContent>
      </w:sdt>
      <w:r>
        <w:rPr>
          <w:lang w:val="en-IE"/>
        </w:rPr>
        <w:t>, by using a M</w:t>
      </w:r>
      <w:r>
        <w:rPr>
          <w:i/>
          <w:iCs/>
          <w:lang w:val="en-IE"/>
        </w:rPr>
        <w:t xml:space="preserve">icrococcus lysodeikticus </w:t>
      </w:r>
      <w:r>
        <w:rPr>
          <w:lang w:val="en-IE"/>
        </w:rPr>
        <w:t xml:space="preserve">suspension and an egg lysozyme standard. Determination of myeloperoxidase (MPx) activity (EC 1.11.1.7) was carried out following a modified method </w:t>
      </w:r>
      <w:r>
        <w:rPr>
          <w:shd w:fill="FFF2CC" w:val="clear"/>
          <w:lang w:val="en-IE"/>
        </w:rPr>
        <w:t>of</w:t>
      </w:r>
      <w:r>
        <w:rPr>
          <w:lang w:val="en-IE"/>
        </w:rPr>
        <w:t xml:space="preserve"> </w:t>
      </w:r>
      <w:sdt>
        <w:sdtPr>
          <w:placeholder>
            <w:docPart w:val="DefaultPlaceholder_-1854013440"/>
          </w:placeholde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sdtPr>
        <w:sdtContent>
          <w:r>
            <w:rPr>
              <w:lang w:val="en-IE"/>
            </w:rPr>
          </w:r>
          <w:r>
            <w:rPr>
              <w:rFonts w:eastAsia="Times New Roman"/>
              <w:color w:val="000000"/>
              <w:lang w:val="en-IE"/>
            </w:rPr>
            <w:t>Mohanty &amp; Sahoo (2010)</w:t>
          </w:r>
        </w:sdtContent>
      </w:sdt>
      <w:r>
        <w:rPr>
          <w:lang w:val="en-IE"/>
        </w:rPr>
        <w:t xml:space="preserve">, based on the increase of absorbance due to oxidation of 3,3',5,5'-tetramethylbenzidine (TMB) by the products of </w:t>
      </w:r>
      <w:r>
        <w:rPr>
          <w:lang w:val="en-IE"/>
        </w:rPr>
        <w:t>MPx activity.</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Both oxidative status and immune parameters measurements were carried out with a PowerWave microplate spectrophotometer (Bio-Tek Instrument, Inc.) at a stable temperature of 25 °C for enzymatic determinations.</w:t>
      </w:r>
    </w:p>
    <w:p>
      <w:pPr>
        <w:pStyle w:val="Standard"/>
        <w:spacing w:lineRule="auto" w:line="276"/>
        <w:jc w:val="both"/>
        <w:rPr>
          <w:lang w:val="en-IE"/>
        </w:rPr>
      </w:pPr>
      <w:r>
        <w:rPr>
          <w:lang w:val="en-IE"/>
        </w:rPr>
      </w:r>
    </w:p>
    <w:p>
      <w:pPr>
        <w:pStyle w:val="Standard"/>
        <w:spacing w:lineRule="auto" w:line="276"/>
        <w:jc w:val="both"/>
        <w:rPr>
          <w:sz w:val="28"/>
          <w:szCs w:val="28"/>
          <w:lang w:val="en-IE"/>
        </w:rPr>
      </w:pPr>
      <w:r>
        <w:rPr>
          <w:sz w:val="28"/>
          <w:szCs w:val="28"/>
          <w:lang w:val="en-IE"/>
        </w:rPr>
        <w:t>2.4. Statistical analysis</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All statistical analysis and data processing was carried out using R. 4.4.3 and Rstudio 2024.12.1. Results were expressed as mean ± standard error of the mean (SEM). A confidence level of 95% (</w:t>
      </w:r>
      <w:r>
        <w:rPr>
          <w:rFonts w:cs="Calibri Light" w:cstheme="minorHAnsi"/>
          <w:lang w:val="en-IE"/>
        </w:rPr>
        <w:t>α</w:t>
      </w:r>
      <w:r>
        <w:rPr>
          <w:lang w:val="en-IE"/>
        </w:rPr>
        <w:t xml:space="preserve"> = 0.05) was established for all statistical tests. For each variable, a two-way ANOVA was conducted to examine the effect of the sectioning procedure at short and long term on the oxidative status of </w:t>
      </w:r>
      <w:r>
        <w:rPr>
          <w:i/>
          <w:iCs/>
          <w:lang w:val="en-IE"/>
        </w:rPr>
        <w:t>A. viridis</w:t>
      </w:r>
      <w:r>
        <w:rPr>
          <w:lang w:val="en-IE"/>
        </w:rPr>
        <w:t xml:space="preserve">. When interaction between both variables was </w:t>
      </w:r>
      <w:r>
        <w:rPr>
          <w:lang w:val="en-IE"/>
        </w:rPr>
        <w:t>found to be</w:t>
      </w:r>
      <w:r>
        <w:rPr>
          <w:lang w:val="en-IE"/>
        </w:rPr>
        <w:t xml:space="preserve"> significant, a t-test was performed at each level of the variable time (T0 and T1) to test for differences between sectioned and control animals. Obtained p-values were adjusted using Benjamini-Hochberg correction for multiple testing. Normality of residuals was assessed via Shapiro-Wilk’s normality test, while homoscedasticity was tested using Levene’s test. All residuals were normally distributed (p &gt; 0.05) and all variables had homogeneity of variances (p &gt; 0.05). </w:t>
      </w:r>
    </w:p>
    <w:p>
      <w:pPr>
        <w:pStyle w:val="Standard"/>
        <w:spacing w:lineRule="auto" w:line="276"/>
        <w:jc w:val="both"/>
        <w:rPr>
          <w:lang w:val="en-IE"/>
        </w:rPr>
      </w:pPr>
      <w:r>
        <w:rPr>
          <w:lang w:val="en-IE"/>
        </w:rPr>
      </w:r>
    </w:p>
    <w:p>
      <w:pPr>
        <w:pStyle w:val="Standard"/>
        <w:spacing w:lineRule="auto" w:line="276"/>
        <w:jc w:val="both"/>
        <w:rPr>
          <w:sz w:val="32"/>
          <w:szCs w:val="32"/>
          <w:lang w:val="en-IE"/>
        </w:rPr>
      </w:pPr>
      <w:r>
        <w:rPr>
          <w:sz w:val="32"/>
          <w:szCs w:val="32"/>
          <w:lang w:val="en-IE"/>
        </w:rPr>
        <w:t>3. Results</w:t>
      </w:r>
    </w:p>
    <w:p>
      <w:pPr>
        <w:pStyle w:val="Standard"/>
        <w:spacing w:lineRule="auto" w:line="276"/>
        <w:jc w:val="both"/>
        <w:rPr>
          <w:sz w:val="32"/>
          <w:szCs w:val="32"/>
          <w:lang w:val="en-IE"/>
        </w:rPr>
      </w:pPr>
      <w:r>
        <w:rPr>
          <w:sz w:val="32"/>
          <w:szCs w:val="32"/>
          <w:lang w:val="en-IE"/>
        </w:rPr>
      </w:r>
    </w:p>
    <w:p>
      <w:pPr>
        <w:pStyle w:val="Standard"/>
        <w:shd w:val="clear" w:color="auto" w:fill="FFCCFF"/>
        <w:spacing w:lineRule="auto" w:line="276"/>
        <w:jc w:val="both"/>
        <w:rPr>
          <w:lang w:val="en-IE"/>
        </w:rPr>
      </w:pPr>
      <w:r>
        <w:rPr>
          <w:lang w:val="en-IE"/>
        </w:rPr>
        <w:t>Overall, the sectioning</w:t>
      </w:r>
      <w:r>
        <w:rPr>
          <w:lang w:val="en-IE"/>
        </w:rPr>
        <w:t xml:space="preserve"> procedure registered an 8% mortality </w:t>
      </w:r>
      <w:r>
        <w:rPr>
          <w:lang w:val="en-IE"/>
        </w:rPr>
        <w:t>during healing of the anemones. The rest of the anemones were able to heal and keep growing in the next months.</w:t>
      </w:r>
    </w:p>
    <w:p>
      <w:pPr>
        <w:pStyle w:val="Standard"/>
        <w:spacing w:lineRule="auto" w:line="276"/>
        <w:jc w:val="both"/>
        <w:rPr>
          <w:lang w:val="en-IE"/>
        </w:rPr>
      </w:pPr>
      <w:r>
        <w:rPr>
          <w:lang w:val="en-IE"/>
        </w:rPr>
      </w:r>
    </w:p>
    <w:p>
      <w:pPr>
        <w:pStyle w:val="Standard"/>
        <w:spacing w:lineRule="auto" w:line="276"/>
        <w:jc w:val="both"/>
        <w:rPr>
          <w:sz w:val="28"/>
          <w:szCs w:val="28"/>
          <w:lang w:val="en-IE"/>
        </w:rPr>
      </w:pPr>
      <w:r>
        <w:rPr>
          <w:sz w:val="28"/>
          <w:szCs w:val="28"/>
          <w:lang w:val="en-IE"/>
        </w:rPr>
        <w:t>3.1. Oxidative status parameters</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SOD and CAT</w:t>
      </w:r>
    </w:p>
    <w:p>
      <w:pPr>
        <w:pStyle w:val="Standard"/>
        <w:spacing w:lineRule="auto" w:line="276"/>
        <w:jc w:val="both"/>
        <w:rPr>
          <w:lang w:val="en-IE"/>
        </w:rPr>
      </w:pPr>
      <w:r>
        <w:rPr>
          <w:shd w:fill="D8F89E" w:val="clear"/>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A light tendency was found on tentacular SOD activity, where sectioned individuals yielded a slightly smaller activity, but this pattern was not found to be statistically significant. CAT activity </w:t>
      </w:r>
      <w:r>
        <w:rPr>
          <w:shd w:fill="D8F89E" w:val="clear"/>
          <w:lang w:val="en-IE"/>
        </w:rPr>
        <w:t>(Figure 2)</w:t>
      </w:r>
      <w:r>
        <w:rPr>
          <w:lang w:val="en-IE"/>
        </w:rPr>
        <w:t xml:space="preserve"> showed different responses in tentacular and columnar samples. Columnar activity was increased by the sectioning protocol, while there was no effect of time or interaction between both variables. Tentacular CAT activity, however, featured a significant interaction effect. At T0, sectioned anemones featured a significantly higher CAT activity than control anemones </w:t>
      </w:r>
      <w:r>
        <w:rPr>
          <w:shd w:fill="FCA6B8" w:val="clear"/>
          <w:lang w:val="en-IE"/>
        </w:rPr>
        <w:t>(p = 0.000274, p &lt; 0.001)</w:t>
      </w:r>
      <w:r>
        <w:rPr>
          <w:lang w:val="en-IE"/>
        </w:rPr>
        <w:t>. However, a T1, this relationship became inverted and the sectioned individuals exhibited a lower activity (</w:t>
      </w:r>
      <w:r>
        <w:rPr>
          <w:shd w:fill="FCA6B8" w:val="clear"/>
          <w:lang w:val="en-IE"/>
        </w:rPr>
        <w:t>p = 0.00599, p &lt; 0.01</w:t>
      </w:r>
      <w:r>
        <w:rPr>
          <w:lang w:val="en-IE"/>
        </w:rPr>
        <w:t>).</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GPx, GR and G6PDH</w:t>
      </w:r>
    </w:p>
    <w:p>
      <w:pPr>
        <w:pStyle w:val="Standard"/>
        <w:spacing w:lineRule="auto" w:line="276"/>
        <w:jc w:val="both"/>
        <w:rPr>
          <w:lang w:val="en-IE"/>
        </w:rPr>
      </w:pPr>
      <w:r>
        <w:rPr>
          <w:lang w:val="en-IE"/>
        </w:rPr>
        <w:t xml:space="preserve">GR activity is displayed in </w:t>
      </w:r>
      <w:r>
        <w:rPr>
          <w:shd w:fill="D8F89E" w:val="clear"/>
          <w:lang w:val="en-IE"/>
        </w:rPr>
        <w:t>Figure 3</w:t>
      </w:r>
      <w:r>
        <w:rPr>
          <w:lang w:val="en-IE"/>
        </w:rPr>
        <w:t>. Time had a significant effect on both columnar and tentacular GR, as samples from T1 exhibited lower activity than T0 measurements. Furthermore, columnar GR activity was significantly increased for all sectioned individuals. Columnar GPx activity (</w:t>
      </w:r>
      <w:r>
        <w:rPr>
          <w:shd w:fill="CCFFCC" w:val="clear"/>
          <w:lang w:val="en-IE"/>
        </w:rPr>
        <w:t>Figure 4.A</w:t>
      </w:r>
      <w:r>
        <w:rPr>
          <w:lang w:val="en-IE"/>
        </w:rPr>
        <w:t>) was not affected by either variable, although a nearly significant effect of time increasing the activity of this enzyme can be observed. Tentacular GPx activity (</w:t>
      </w:r>
      <w:r>
        <w:rPr>
          <w:shd w:fill="CCFFCC" w:val="clear"/>
          <w:lang w:val="en-IE"/>
        </w:rPr>
        <w:t>Figure 4.B</w:t>
      </w:r>
      <w:r>
        <w:rPr>
          <w:lang w:val="en-IE"/>
        </w:rPr>
        <w:t xml:space="preserve">) featured interaction between both variables. At T0, there was no significant differences between control and sections animals </w:t>
      </w:r>
      <w:r>
        <w:rPr>
          <w:shd w:fill="FFCCCC" w:val="clear"/>
          <w:lang w:val="en-IE"/>
        </w:rPr>
        <w:t>(p = 0.0535)</w:t>
      </w:r>
      <w:r>
        <w:rPr>
          <w:lang w:val="en-IE"/>
        </w:rPr>
        <w:t xml:space="preserve">; while, at T1, sectioned anemones displayed lower GPx activity </w:t>
      </w:r>
      <w:r>
        <w:rPr>
          <w:shd w:fill="FFCCCC" w:val="clear"/>
          <w:lang w:val="en-IE"/>
        </w:rPr>
        <w:t>(p = 0.0286, p &lt; 0.05).</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GST and DTD</w:t>
      </w:r>
    </w:p>
    <w:p>
      <w:pPr>
        <w:pStyle w:val="Standard"/>
        <w:spacing w:lineRule="auto" w:line="276"/>
        <w:jc w:val="both"/>
        <w:rPr>
          <w:lang w:val="en-IE"/>
        </w:rPr>
      </w:pPr>
      <w:r>
        <w:rPr>
          <w:shd w:fill="D8F89E" w:val="clear"/>
          <w:lang w:val="en-IE"/>
        </w:rPr>
        <w:t>Figure 5</w:t>
      </w:r>
      <w:r>
        <w:rPr>
          <w:lang w:val="en-IE"/>
        </w:rPr>
        <w:t xml:space="preserve"> shows GST activity on both body regions. While there were no significant differences in columnar GST activity, tentacular samples featured significant interaction between the two variables. At T0, sectioned individuals had their GST activity significantly increased </w:t>
      </w:r>
      <w:r>
        <w:rPr>
          <w:shd w:fill="FCA6B8" w:val="clear"/>
          <w:lang w:val="en-IE"/>
        </w:rPr>
        <w:t>(p = 0.000656, p &lt; 0.001)</w:t>
      </w:r>
      <w:r>
        <w:rPr>
          <w:lang w:val="en-IE"/>
        </w:rPr>
        <w:t xml:space="preserve">. These differences were not reflected T1, where control and sectioned individuals were found to be similar </w:t>
      </w:r>
      <w:r>
        <w:rPr>
          <w:shd w:fill="FCA6B8" w:val="clear"/>
          <w:lang w:val="en-IE"/>
        </w:rPr>
        <w:t>(p = 0.345)</w:t>
      </w:r>
      <w:r>
        <w:rPr>
          <w:lang w:val="en-IE"/>
        </w:rPr>
        <w:t>. Columnar DTD activity (</w:t>
      </w:r>
      <w:r>
        <w:rPr>
          <w:shd w:fill="D8F89E" w:val="clear"/>
          <w:lang w:val="en-IE"/>
        </w:rPr>
        <w:t>Figure 6. A)</w:t>
      </w:r>
      <w:r>
        <w:rPr>
          <w:lang w:val="en-IE"/>
        </w:rPr>
        <w:t xml:space="preserve"> increased significantly on sectioned anemones. Tentacular DTD activity featured a significant interaction effect (Figure 5.B). Anemones at T0 exhibited this same pattern of higher activity for sectioned individuals (</w:t>
      </w:r>
      <w:r>
        <w:rPr>
          <w:shd w:fill="FCA6B8" w:val="clear"/>
          <w:lang w:val="en-IE"/>
        </w:rPr>
        <w:t>p = 0.000103, p &lt; 0.001</w:t>
      </w:r>
      <w:r>
        <w:rPr>
          <w:lang w:val="en-IE"/>
        </w:rPr>
        <w:t xml:space="preserve">) detected in columnar activity. At T1, however, no differences were found between control and sectioned samples </w:t>
      </w:r>
      <w:r>
        <w:rPr>
          <w:shd w:fill="FCA6B8" w:val="clear"/>
          <w:lang w:val="en-IE"/>
        </w:rPr>
        <w:t>(p = 0.393</w:t>
      </w:r>
      <w:r>
        <w:rPr>
          <w:lang w:val="en-IE"/>
        </w:rPr>
        <w:t>).</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TEAC and MDA</w:t>
      </w:r>
    </w:p>
    <w:p>
      <w:pPr>
        <w:pStyle w:val="Standard"/>
        <w:spacing w:lineRule="auto" w:line="276"/>
        <w:jc w:val="both"/>
        <w:rPr>
          <w:lang w:val="en-IE"/>
        </w:rPr>
      </w:pPr>
      <w:r>
        <w:rPr>
          <w:lang w:val="en-IE"/>
        </w:rPr>
        <w:t xml:space="preserve">Total Antioxidant Capacity, measured as TEAC, is displayed on </w:t>
      </w:r>
      <w:r>
        <w:rPr>
          <w:shd w:fill="D8F89E" w:val="clear"/>
          <w:lang w:val="en-IE"/>
        </w:rPr>
        <w:t>Figure 7</w:t>
      </w:r>
      <w:r>
        <w:rPr>
          <w:lang w:val="en-IE"/>
        </w:rPr>
        <w:t>. Neither columnar or tentacular TEAC showed any differences associated with sectioning or time. MDA concentration (</w:t>
      </w:r>
      <w:r>
        <w:rPr>
          <w:shd w:fill="D8F89E" w:val="clear"/>
          <w:lang w:val="en-IE"/>
        </w:rPr>
        <w:t>Figure 8</w:t>
      </w:r>
      <w:r>
        <w:rPr>
          <w:lang w:val="en-IE"/>
        </w:rPr>
        <w:t>) did not vary significantly in columnar samples, but tentacular MDA was found to be lower on sectioned individuals compared to control ones.</w:t>
      </w:r>
    </w:p>
    <w:p>
      <w:pPr>
        <w:pStyle w:val="Standard"/>
        <w:spacing w:lineRule="auto" w:line="276"/>
        <w:jc w:val="both"/>
        <w:rPr>
          <w:lang w:val="en-IE"/>
        </w:rPr>
      </w:pPr>
      <w:r>
        <w:rPr>
          <w:lang w:val="en-IE"/>
        </w:rPr>
      </w:r>
    </w:p>
    <w:p>
      <w:pPr>
        <w:pStyle w:val="Standard"/>
        <w:spacing w:lineRule="auto" w:line="276"/>
        <w:jc w:val="both"/>
        <w:rPr>
          <w:sz w:val="28"/>
          <w:szCs w:val="28"/>
          <w:lang w:val="en-IE"/>
        </w:rPr>
      </w:pPr>
      <w:r>
        <w:rPr>
          <w:sz w:val="28"/>
          <w:szCs w:val="28"/>
          <w:lang w:val="en-IE"/>
        </w:rPr>
        <w:t>3.2. Non-specific immune parameters</w:t>
      </w:r>
    </w:p>
    <w:p>
      <w:pPr>
        <w:pStyle w:val="Standard"/>
        <w:spacing w:lineRule="auto" w:line="276"/>
        <w:jc w:val="both"/>
        <w:rPr>
          <w:lang w:val="en-IE"/>
        </w:rPr>
      </w:pPr>
      <w:r>
        <w:rPr>
          <w:lang w:val="en-IE"/>
        </w:rPr>
      </w:r>
    </w:p>
    <w:p>
      <w:pPr>
        <w:pStyle w:val="Standard"/>
        <w:spacing w:lineRule="auto" w:line="276"/>
        <w:jc w:val="both"/>
        <w:rPr>
          <w:lang w:val="en-IE"/>
        </w:rPr>
      </w:pPr>
      <w:r>
        <w:rPr>
          <w:lang w:val="en-IE"/>
        </w:rPr>
        <w:t>Neither acid phosphatase (</w:t>
      </w:r>
      <w:r>
        <w:rPr>
          <w:shd w:fill="D8F89E" w:val="clear"/>
          <w:lang w:val="en-IE"/>
        </w:rPr>
        <w:t>Figure 9</w:t>
      </w:r>
      <w:r>
        <w:rPr>
          <w:lang w:val="en-IE"/>
        </w:rPr>
        <w:t>) nor alkaline phosphatase (</w:t>
      </w:r>
      <w:r>
        <w:rPr>
          <w:shd w:fill="D8F89E" w:val="clear"/>
          <w:lang w:val="en-IE"/>
        </w:rPr>
        <w:t>Figure 10</w:t>
      </w:r>
      <w:r>
        <w:rPr>
          <w:lang w:val="en-IE"/>
        </w:rPr>
        <w:t>) showed any significant effect or interaction. MPx activity showed significant interaction in columnar samples. At T0, columnar MPx activity (</w:t>
      </w:r>
      <w:r>
        <w:rPr>
          <w:shd w:fill="CCFFCC" w:val="clear"/>
          <w:lang w:val="en-IE"/>
        </w:rPr>
        <w:t>Figure 11</w:t>
      </w:r>
      <w:r>
        <w:rPr>
          <w:lang w:val="en-IE"/>
        </w:rPr>
        <w:t>) was lower for sectioned individuals (</w:t>
      </w:r>
      <w:r>
        <w:rPr>
          <w:shd w:fill="FCA6B8" w:val="clear"/>
          <w:lang w:val="en-IE"/>
        </w:rPr>
        <w:t>p = 0.000895, p &lt; 0.001</w:t>
      </w:r>
      <w:r>
        <w:rPr>
          <w:lang w:val="en-IE"/>
        </w:rPr>
        <w:t>), while there were no significant differences at T1 (</w:t>
      </w:r>
      <w:r>
        <w:rPr>
          <w:shd w:fill="FCA6B8" w:val="clear"/>
          <w:lang w:val="en-IE"/>
        </w:rPr>
        <w:t>p = 0.674</w:t>
      </w:r>
      <w:r>
        <w:rPr>
          <w:lang w:val="en-IE"/>
        </w:rPr>
        <w:t>). The effect of sectioning and time on tentacular activity also resulted non-significant.</w:t>
      </w:r>
    </w:p>
    <w:p>
      <w:pPr>
        <w:pStyle w:val="Standard"/>
        <w:spacing w:lineRule="auto" w:line="276"/>
        <w:jc w:val="both"/>
        <w:rPr>
          <w:lang w:val="en-IE"/>
        </w:rPr>
      </w:pPr>
      <w:r>
        <w:rPr>
          <w:lang w:val="en-IE"/>
        </w:rPr>
      </w:r>
    </w:p>
    <w:p>
      <w:pPr>
        <w:pStyle w:val="Standard"/>
        <w:spacing w:lineRule="auto" w:line="276"/>
        <w:jc w:val="both"/>
        <w:rPr>
          <w:sz w:val="32"/>
          <w:szCs w:val="32"/>
          <w:lang w:val="en-IE"/>
        </w:rPr>
      </w:pPr>
      <w:r>
        <w:rPr>
          <w:sz w:val="32"/>
          <w:szCs w:val="32"/>
          <w:lang w:val="en-IE"/>
        </w:rPr>
        <w:t>4. Discussion</w:t>
      </w:r>
    </w:p>
    <w:p>
      <w:pPr>
        <w:pStyle w:val="Standard"/>
        <w:spacing w:lineRule="auto" w:line="276"/>
        <w:jc w:val="both"/>
        <w:rPr>
          <w:lang w:val="en-IE"/>
        </w:rPr>
      </w:pPr>
      <w:r>
        <w:rPr>
          <w:lang w:val="en-IE"/>
        </w:rPr>
      </w:r>
    </w:p>
    <w:p>
      <w:pPr>
        <w:pStyle w:val="Standard"/>
        <w:spacing w:lineRule="auto" w:line="276"/>
        <w:jc w:val="both"/>
        <w:rPr>
          <w:sz w:val="32"/>
          <w:szCs w:val="32"/>
          <w:lang w:val="en-IE"/>
        </w:rPr>
      </w:pPr>
      <w:r>
        <w:rPr>
          <w:sz w:val="32"/>
          <w:szCs w:val="32"/>
          <w:lang w:val="en-IE"/>
        </w:rPr>
        <w:t>5. Conclusions</w:t>
      </w:r>
    </w:p>
    <w:p>
      <w:pPr>
        <w:pStyle w:val="Standard"/>
        <w:spacing w:lineRule="auto" w:line="276"/>
        <w:jc w:val="both"/>
        <w:rPr>
          <w:lang w:val="en-IE"/>
        </w:rPr>
      </w:pPr>
      <w:r>
        <w:rPr>
          <w:lang w:val="en-IE"/>
        </w:rPr>
      </w:r>
    </w:p>
    <w:p>
      <w:pPr>
        <w:pStyle w:val="Standard"/>
        <w:shd w:val="clear" w:color="auto" w:fill="FFF2CC" w:themeFill="accent4" w:themeFillTint="33"/>
        <w:spacing w:lineRule="auto" w:line="276"/>
        <w:jc w:val="both"/>
        <w:rPr>
          <w:sz w:val="32"/>
          <w:szCs w:val="32"/>
          <w:lang w:val="en-IE"/>
        </w:rPr>
      </w:pPr>
      <w:r>
        <w:rPr>
          <w:sz w:val="32"/>
          <w:szCs w:val="32"/>
          <w:lang w:val="en-IE"/>
        </w:rPr>
        <w:t>6. References</w:t>
      </w:r>
    </w:p>
    <w:p>
      <w:pPr>
        <w:pStyle w:val="Standard"/>
        <w:shd w:val="clear" w:color="auto" w:fill="FFF2CC" w:themeFill="accent4" w:themeFillTint="33"/>
        <w:spacing w:lineRule="auto" w:line="276"/>
        <w:jc w:val="both"/>
        <w:rPr>
          <w:sz w:val="32"/>
          <w:szCs w:val="32"/>
          <w:lang w:val="en-IE"/>
        </w:rPr>
      </w:pPr>
      <w:r>
        <w:rPr>
          <w:sz w:val="32"/>
          <w:szCs w:val="32"/>
          <w:lang w:val="en-IE"/>
        </w:rPr>
      </w:r>
    </w:p>
    <w:p>
      <w:pPr>
        <w:pStyle w:val="Normal"/>
        <w:spacing w:lineRule="auto" w:line="276"/>
        <w:ind w:hanging="480"/>
        <w:rPr>
          <w:rFonts w:eastAsia="Times New Roman"/>
          <w:kern w:val="0"/>
          <w:lang w:val="en-IE"/>
        </w:rPr>
      </w:pPr>
      <w:sdt>
        <w:sdtPr>
          <w:placeholder>
            <w:docPart w:val="DefaultPlaceholder_-1854013440"/>
          </w:placeholder>
          <w:tag w:val="MENDELEY_BIBLIOGRAPHY"/>
          <w:id w:val="214705787"/>
          <w:text/>
        </w:sdtPr>
        <w:sdtContent>
          <w:r>
            <w:rPr>
              <w:rFonts w:eastAsia="Times New Roman"/>
              <w:lang w:val="en-IE"/>
            </w:rPr>
          </w:r>
          <w:r>
            <w:rPr>
              <w:rFonts w:eastAsia="Times New Roman"/>
              <w:lang w:val="en-IE"/>
            </w:rPr>
            <w:t xml:space="preserve">Aebi, H. (1984). [13] Catalase in vitro.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121–126. https://doi.org/10.1016/S0076-6879(84)05016-3</w:t>
          </w:r>
        </w:sdtContent>
      </w:sdt>
    </w:p>
    <w:p>
      <w:pPr>
        <w:pStyle w:val="Normal"/>
        <w:spacing w:lineRule="auto" w:line="276"/>
        <w:ind w:hanging="480"/>
        <w:rPr>
          <w:rFonts w:eastAsia="Times New Roman"/>
          <w:lang w:val="en-IE"/>
        </w:rPr>
      </w:pPr>
      <w:r>
        <w:rPr>
          <w:rFonts w:eastAsia="Times New Roman"/>
          <w:lang w:val="en-IE"/>
        </w:rPr>
        <w:t xml:space="preserve">Bradford, M. (1976). A Rapid and Sensitive Method for the Quantitation of Microgram Quantities of Protein Utilizing the Principle of Protein-Dye Binding. </w:t>
      </w:r>
      <w:r>
        <w:rPr>
          <w:rFonts w:eastAsia="Times New Roman"/>
          <w:i/>
          <w:iCs/>
          <w:lang w:val="en-IE"/>
        </w:rPr>
        <w:t>Analytical Biochemistry</w:t>
      </w:r>
      <w:r>
        <w:rPr>
          <w:rFonts w:eastAsia="Times New Roman"/>
          <w:lang w:val="en-IE"/>
        </w:rPr>
        <w:t xml:space="preserve">, </w:t>
      </w:r>
      <w:r>
        <w:rPr>
          <w:rFonts w:eastAsia="Times New Roman"/>
          <w:i/>
          <w:iCs/>
          <w:lang w:val="en-IE"/>
        </w:rPr>
        <w:t>72</w:t>
      </w:r>
      <w:r>
        <w:rPr>
          <w:rFonts w:eastAsia="Times New Roman"/>
          <w:lang w:val="en-IE"/>
        </w:rPr>
        <w:t>(1–2). https://doi.org/10.1006/abio.1976.9999</w:t>
      </w:r>
    </w:p>
    <w:p>
      <w:pPr>
        <w:pStyle w:val="Normal"/>
        <w:spacing w:lineRule="auto" w:line="276"/>
        <w:ind w:hanging="480"/>
        <w:rPr>
          <w:rFonts w:eastAsia="Times New Roman"/>
          <w:lang w:val="en-IE"/>
        </w:rPr>
      </w:pPr>
      <w:r>
        <w:rPr>
          <w:rFonts w:eastAsia="Times New Roman"/>
          <w:lang w:val="en-IE"/>
        </w:rPr>
        <w:t xml:space="preserve">Buege, J. A., &amp; Aust, S. D. (1978). Microsomal Lipid Peroxidation. </w:t>
      </w:r>
      <w:r>
        <w:rPr>
          <w:rFonts w:eastAsia="Times New Roman"/>
          <w:i/>
          <w:iCs/>
          <w:lang w:val="en-IE"/>
        </w:rPr>
        <w:t>Methods in Enzymology</w:t>
      </w:r>
      <w:r>
        <w:rPr>
          <w:rFonts w:eastAsia="Times New Roman"/>
          <w:lang w:val="en-IE"/>
        </w:rPr>
        <w:t xml:space="preserve">, </w:t>
      </w:r>
      <w:r>
        <w:rPr>
          <w:rFonts w:eastAsia="Times New Roman"/>
          <w:i/>
          <w:iCs/>
          <w:lang w:val="en-IE"/>
        </w:rPr>
        <w:t>52</w:t>
      </w:r>
      <w:r>
        <w:rPr>
          <w:rFonts w:eastAsia="Times New Roman"/>
          <w:lang w:val="en-IE"/>
        </w:rPr>
        <w:t>(C). https://doi.org/10.1016/S0076-6879(78)52032-6</w:t>
      </w:r>
    </w:p>
    <w:p>
      <w:pPr>
        <w:pStyle w:val="Normal"/>
        <w:spacing w:lineRule="auto" w:line="276"/>
        <w:ind w:hanging="480"/>
        <w:rPr>
          <w:rFonts w:eastAsia="Times New Roman"/>
        </w:rPr>
      </w:pPr>
      <w:r>
        <w:rPr>
          <w:rFonts w:eastAsia="Times New Roman"/>
          <w:lang w:val="en-IE"/>
        </w:rPr>
        <w:t xml:space="preserve">Carlberg, I., &amp; Mannervik, B. (1975). Purification and characterization of the flavoenzyme glutathione reductase from rat liver. </w:t>
      </w:r>
      <w:r>
        <w:rPr>
          <w:rFonts w:eastAsia="Times New Roman"/>
          <w:i/>
          <w:iCs/>
        </w:rPr>
        <w:t>Journal of Biological Chemistry</w:t>
      </w:r>
      <w:r>
        <w:rPr>
          <w:rFonts w:eastAsia="Times New Roman"/>
        </w:rPr>
        <w:t xml:space="preserve">, </w:t>
      </w:r>
      <w:r>
        <w:rPr>
          <w:rFonts w:eastAsia="Times New Roman"/>
          <w:i/>
          <w:iCs/>
        </w:rPr>
        <w:t>250</w:t>
      </w:r>
      <w:r>
        <w:rPr>
          <w:rFonts w:eastAsia="Times New Roman"/>
        </w:rPr>
        <w:t>(14), 5475–5480. https://doi.org/10.1016/S0021-9258(19)41206-4</w:t>
      </w:r>
    </w:p>
    <w:p>
      <w:pPr>
        <w:pStyle w:val="Normal"/>
        <w:spacing w:lineRule="auto" w:line="276"/>
        <w:ind w:hanging="480"/>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Pr>
          <w:rFonts w:eastAsia="Times New Roman"/>
          <w:lang w:val="en-IE"/>
        </w:rPr>
        <w:t xml:space="preserve">Effects of environmental factors on the oxidative status of Anemonia viridis in aquaculture systems. </w:t>
      </w:r>
      <w:r>
        <w:rPr>
          <w:rFonts w:eastAsia="Times New Roman"/>
          <w:i/>
          <w:iCs/>
          <w:lang w:val="en-IE"/>
        </w:rPr>
        <w:t>Comparative Biochemistry and Physiology Part B: Biochemistry and Molecular Biology</w:t>
      </w:r>
      <w:r>
        <w:rPr>
          <w:rFonts w:eastAsia="Times New Roman"/>
          <w:lang w:val="en-IE"/>
        </w:rPr>
        <w:t xml:space="preserve">, </w:t>
      </w:r>
      <w:r>
        <w:rPr>
          <w:rFonts w:eastAsia="Times New Roman"/>
          <w:i/>
          <w:iCs/>
          <w:lang w:val="en-IE"/>
        </w:rPr>
        <w:t>275</w:t>
      </w:r>
      <w:r>
        <w:rPr>
          <w:rFonts w:eastAsia="Times New Roman"/>
          <w:lang w:val="en-IE"/>
        </w:rPr>
        <w:t>, 111042. https://doi.org/10.1016/J.CBPB.2024.111042</w:t>
      </w:r>
    </w:p>
    <w:p>
      <w:pPr>
        <w:pStyle w:val="Normal"/>
        <w:spacing w:lineRule="auto" w:line="276"/>
        <w:ind w:hanging="480"/>
        <w:rPr>
          <w:rFonts w:eastAsia="Times New Roman"/>
          <w:lang w:val="en-IE"/>
        </w:rPr>
      </w:pPr>
      <w:r>
        <w:rPr>
          <w:rFonts w:eastAsia="Times New Roman"/>
          <w:lang w:val="en-IE"/>
        </w:rPr>
        <w:t xml:space="preserve">Easy, R. H., &amp; Ross, N. W. (2010). Changes in Atlantic salmon Salmo salar mucus components following short- and long-term handling stress. </w:t>
      </w:r>
      <w:r>
        <w:rPr>
          <w:rFonts w:eastAsia="Times New Roman"/>
          <w:i/>
          <w:iCs/>
          <w:lang w:val="en-IE"/>
        </w:rPr>
        <w:t>Journal of Fish Biology</w:t>
      </w:r>
      <w:r>
        <w:rPr>
          <w:rFonts w:eastAsia="Times New Roman"/>
          <w:lang w:val="en-IE"/>
        </w:rPr>
        <w:t xml:space="preserve">, </w:t>
      </w:r>
      <w:r>
        <w:rPr>
          <w:rFonts w:eastAsia="Times New Roman"/>
          <w:i/>
          <w:iCs/>
          <w:lang w:val="en-IE"/>
        </w:rPr>
        <w:t>77</w:t>
      </w:r>
      <w:r>
        <w:rPr>
          <w:rFonts w:eastAsia="Times New Roman"/>
          <w:lang w:val="en-IE"/>
        </w:rPr>
        <w:t>(7). https://doi.org/10.1111/j.1095-8649.2010.02796.x</w:t>
      </w:r>
    </w:p>
    <w:p>
      <w:pPr>
        <w:pStyle w:val="Normal"/>
        <w:spacing w:lineRule="auto" w:line="276"/>
        <w:ind w:hanging="480"/>
        <w:rPr>
          <w:rFonts w:eastAsia="Times New Roman"/>
          <w:lang w:val="en-IE"/>
        </w:rPr>
      </w:pPr>
      <w:r>
        <w:rPr>
          <w:rFonts w:eastAsia="Times New Roman"/>
          <w:lang w:val="en-IE"/>
        </w:rPr>
        <w:t xml:space="preserve">Erel, O. (2004). A novel automated direct measurement method for total antioxidant capacity using a new generation, more stable ABTS radical cation. </w:t>
      </w:r>
      <w:r>
        <w:rPr>
          <w:rFonts w:eastAsia="Times New Roman"/>
          <w:i/>
          <w:iCs/>
          <w:lang w:val="en-IE"/>
        </w:rPr>
        <w:t>Clinical Biochemistry</w:t>
      </w:r>
      <w:r>
        <w:rPr>
          <w:rFonts w:eastAsia="Times New Roman"/>
          <w:lang w:val="en-IE"/>
        </w:rPr>
        <w:t xml:space="preserve">, </w:t>
      </w:r>
      <w:r>
        <w:rPr>
          <w:rFonts w:eastAsia="Times New Roman"/>
          <w:i/>
          <w:iCs/>
          <w:lang w:val="en-IE"/>
        </w:rPr>
        <w:t>37</w:t>
      </w:r>
      <w:r>
        <w:rPr>
          <w:rFonts w:eastAsia="Times New Roman"/>
          <w:lang w:val="en-IE"/>
        </w:rPr>
        <w:t>(4), 277–285. https://doi.org/10.1016/J.CLINBIOCHEM.2003.11.015</w:t>
      </w:r>
    </w:p>
    <w:p>
      <w:pPr>
        <w:pStyle w:val="Normal"/>
        <w:spacing w:lineRule="auto" w:line="276"/>
        <w:ind w:hanging="480"/>
        <w:rPr>
          <w:rFonts w:eastAsia="Times New Roman"/>
          <w:lang w:val="en-IE"/>
        </w:rPr>
      </w:pPr>
      <w:r>
        <w:rPr>
          <w:rFonts w:eastAsia="Times New Roman"/>
          <w:lang w:val="en-IE"/>
        </w:rPr>
        <w:t xml:space="preserve">Flohé, L., &amp; Günzler, W. A. (1984). [12] Assays of glutathione peroxidase. </w:t>
      </w:r>
      <w:r>
        <w:rPr>
          <w:rFonts w:eastAsia="Times New Roman"/>
          <w:i/>
          <w:iCs/>
          <w:lang w:val="en-IE"/>
        </w:rPr>
        <w:t>Methods in Enzymology</w:t>
      </w:r>
      <w:r>
        <w:rPr>
          <w:rFonts w:eastAsia="Times New Roman"/>
          <w:lang w:val="en-IE"/>
        </w:rPr>
        <w:t xml:space="preserve">, </w:t>
      </w:r>
      <w:r>
        <w:rPr>
          <w:rFonts w:eastAsia="Times New Roman"/>
          <w:i/>
          <w:iCs/>
          <w:lang w:val="en-IE"/>
        </w:rPr>
        <w:t>105</w:t>
      </w:r>
      <w:r>
        <w:rPr>
          <w:rFonts w:eastAsia="Times New Roman"/>
          <w:lang w:val="en-IE"/>
        </w:rPr>
        <w:t>(C), 114–120. https://doi.org/10.1016/S0076-6879(84)05015-1</w:t>
      </w:r>
    </w:p>
    <w:p>
      <w:pPr>
        <w:pStyle w:val="Normal"/>
        <w:spacing w:lineRule="auto" w:line="276"/>
        <w:ind w:hanging="480"/>
        <w:rPr>
          <w:rFonts w:eastAsia="Times New Roman"/>
          <w:lang w:val="en-IE"/>
        </w:rPr>
      </w:pPr>
      <w:r>
        <w:rPr>
          <w:rFonts w:eastAsia="Times New Roman"/>
        </w:rPr>
        <w:t xml:space="preserve">Frasco, M. F., &amp; Guilhermino, L. (2002). </w:t>
      </w:r>
      <w:r>
        <w:rPr>
          <w:rFonts w:eastAsia="Times New Roman"/>
          <w:lang w:val="en-IE"/>
        </w:rPr>
        <w:t xml:space="preserve">Effects of dimethoate and beta-naphthoflavone on selected biomarkers of Poecilia reticulata. </w:t>
      </w:r>
      <w:r>
        <w:rPr>
          <w:rFonts w:eastAsia="Times New Roman"/>
          <w:i/>
          <w:iCs/>
          <w:lang w:val="en-IE"/>
        </w:rPr>
        <w:t>Fish Physiology and Biochemistry 2002 26:2</w:t>
      </w:r>
      <w:r>
        <w:rPr>
          <w:rFonts w:eastAsia="Times New Roman"/>
          <w:lang w:val="en-IE"/>
        </w:rPr>
        <w:t xml:space="preserve">, </w:t>
      </w:r>
      <w:r>
        <w:rPr>
          <w:rFonts w:eastAsia="Times New Roman"/>
          <w:i/>
          <w:iCs/>
          <w:lang w:val="en-IE"/>
        </w:rPr>
        <w:t>26</w:t>
      </w:r>
      <w:r>
        <w:rPr>
          <w:rFonts w:eastAsia="Times New Roman"/>
          <w:lang w:val="en-IE"/>
        </w:rPr>
        <w:t>(2), 149–156. https://doi.org/10.1023/A:1025457831923</w:t>
      </w:r>
    </w:p>
    <w:p>
      <w:pPr>
        <w:pStyle w:val="Normal"/>
        <w:spacing w:lineRule="auto" w:line="276"/>
        <w:ind w:hanging="480"/>
        <w:rPr>
          <w:rFonts w:eastAsia="Times New Roman"/>
          <w:lang w:val="en-IE"/>
        </w:rPr>
      </w:pPr>
      <w:r>
        <w:rPr>
          <w:rFonts w:eastAsia="Times New Roman"/>
          <w:lang w:val="en-IE"/>
        </w:rPr>
        <w:t xml:space="preserve">Huang, Z. H., Ma, A. J., &amp; Wang, X. A. (2011). The immune response of turbot, Scophthalmus maximus (L.), skin to high water temperature. </w:t>
      </w:r>
      <w:r>
        <w:rPr>
          <w:rFonts w:eastAsia="Times New Roman"/>
          <w:i/>
          <w:iCs/>
          <w:lang w:val="en-IE"/>
        </w:rPr>
        <w:t>Journal of Fish Diseases</w:t>
      </w:r>
      <w:r>
        <w:rPr>
          <w:rFonts w:eastAsia="Times New Roman"/>
          <w:lang w:val="en-IE"/>
        </w:rPr>
        <w:t xml:space="preserve">, </w:t>
      </w:r>
      <w:r>
        <w:rPr>
          <w:rFonts w:eastAsia="Times New Roman"/>
          <w:i/>
          <w:iCs/>
          <w:lang w:val="en-IE"/>
        </w:rPr>
        <w:t>34</w:t>
      </w:r>
      <w:r>
        <w:rPr>
          <w:rFonts w:eastAsia="Times New Roman"/>
          <w:lang w:val="en-IE"/>
        </w:rPr>
        <w:t>(8). https://doi.org/10.1111/j.1365-2761.2011.01275.x</w:t>
      </w:r>
    </w:p>
    <w:p>
      <w:pPr>
        <w:pStyle w:val="Normal"/>
        <w:spacing w:lineRule="auto" w:line="276"/>
        <w:ind w:hanging="480"/>
        <w:rPr>
          <w:rFonts w:eastAsia="Times New Roman"/>
          <w:lang w:val="en-IE"/>
        </w:rPr>
      </w:pPr>
      <w:r>
        <w:rPr>
          <w:rFonts w:eastAsia="Times New Roman"/>
          <w:lang w:val="en-IE"/>
        </w:rPr>
        <w:t xml:space="preserve">Lemaire, P., Sturve, J., Förlin, L., &amp; Livingstone, D. R. (1996). Studies on aromatic hydrocarbon quinone metabolism and DT-Diaphorase function in liver of fish species. </w:t>
      </w:r>
      <w:r>
        <w:rPr>
          <w:rFonts w:eastAsia="Times New Roman"/>
          <w:i/>
          <w:iCs/>
          <w:lang w:val="en-IE"/>
        </w:rPr>
        <w:t>Marine Environmental Research</w:t>
      </w:r>
      <w:r>
        <w:rPr>
          <w:rFonts w:eastAsia="Times New Roman"/>
          <w:lang w:val="en-IE"/>
        </w:rPr>
        <w:t xml:space="preserve">, </w:t>
      </w:r>
      <w:r>
        <w:rPr>
          <w:rFonts w:eastAsia="Times New Roman"/>
          <w:i/>
          <w:iCs/>
          <w:lang w:val="en-IE"/>
        </w:rPr>
        <w:t>42</w:t>
      </w:r>
      <w:r>
        <w:rPr>
          <w:rFonts w:eastAsia="Times New Roman"/>
          <w:lang w:val="en-IE"/>
        </w:rPr>
        <w:t>(1–4), 317–321. https://doi.org/10.1016/0141-1136(95)00042-9</w:t>
      </w:r>
    </w:p>
    <w:p>
      <w:pPr>
        <w:pStyle w:val="Normal"/>
        <w:spacing w:lineRule="auto" w:line="276"/>
        <w:ind w:hanging="480"/>
        <w:rPr>
          <w:rFonts w:eastAsia="Times New Roman"/>
          <w:lang w:val="en-IE"/>
        </w:rPr>
      </w:pPr>
      <w:r>
        <w:rPr>
          <w:rFonts w:eastAsia="Times New Roman"/>
          <w:lang w:val="en-IE"/>
        </w:rPr>
        <w:t xml:space="preserve">Löhr, G. W., &amp; Waller, H. D. (1965). Glucose-6-phosphate Dehydrogenase: (Zwischenferment). </w:t>
      </w:r>
      <w:r>
        <w:rPr>
          <w:rFonts w:eastAsia="Times New Roman"/>
          <w:i/>
          <w:iCs/>
          <w:lang w:val="en-IE"/>
        </w:rPr>
        <w:t>Methods of Enzymatic Analysis</w:t>
      </w:r>
      <w:r>
        <w:rPr>
          <w:rFonts w:eastAsia="Times New Roman"/>
          <w:lang w:val="en-IE"/>
        </w:rPr>
        <w:t>, 744–751. https://doi.org/10.1016/B978-0-12-395630-9.50135-3</w:t>
      </w:r>
    </w:p>
    <w:p>
      <w:pPr>
        <w:pStyle w:val="Normal"/>
        <w:spacing w:lineRule="auto" w:line="276"/>
        <w:ind w:hanging="480"/>
        <w:rPr>
          <w:rFonts w:eastAsia="Times New Roman"/>
          <w:lang w:val="en-IE"/>
        </w:rPr>
      </w:pPr>
      <w:r>
        <w:rPr>
          <w:rFonts w:eastAsia="Times New Roman"/>
          <w:lang w:val="en-IE"/>
        </w:rPr>
        <w:t xml:space="preserve">McCord, J. M., &amp; Fridovich, I. (1969). Superoxide Dismutase: AN ENZYMIC FUNCTION FOR ERYTHROCUPREIN (HEMOCUPREIN). </w:t>
      </w:r>
      <w:r>
        <w:rPr>
          <w:rFonts w:eastAsia="Times New Roman"/>
          <w:i/>
          <w:iCs/>
          <w:lang w:val="en-IE"/>
        </w:rPr>
        <w:t>Journal of Biological Chemistry</w:t>
      </w:r>
      <w:r>
        <w:rPr>
          <w:rFonts w:eastAsia="Times New Roman"/>
          <w:lang w:val="en-IE"/>
        </w:rPr>
        <w:t xml:space="preserve">, </w:t>
      </w:r>
      <w:r>
        <w:rPr>
          <w:rFonts w:eastAsia="Times New Roman"/>
          <w:i/>
          <w:iCs/>
          <w:lang w:val="en-IE"/>
        </w:rPr>
        <w:t>244</w:t>
      </w:r>
      <w:r>
        <w:rPr>
          <w:rFonts w:eastAsia="Times New Roman"/>
          <w:lang w:val="en-IE"/>
        </w:rPr>
        <w:t>(22), 6049–6055. https://doi.org/10.1016/S0021-9258(18)63504-5</w:t>
      </w:r>
    </w:p>
    <w:p>
      <w:pPr>
        <w:pStyle w:val="Normal"/>
        <w:spacing w:lineRule="auto" w:line="276"/>
        <w:ind w:hanging="480"/>
        <w:rPr>
          <w:rFonts w:eastAsia="Times New Roman"/>
          <w:lang w:val="en-IE"/>
        </w:rPr>
      </w:pPr>
      <w:r>
        <w:rPr>
          <w:rFonts w:eastAsia="Times New Roman"/>
          <w:lang w:val="en-IE"/>
        </w:rPr>
        <w:t xml:space="preserve">Mohanty, B. R., &amp; Sahoo, P. K. (2010). Immune responses and expression profiles of some immune-related genes in Indian major carp, Labeo rohita to Edwardsiella tarda infection. </w:t>
      </w:r>
      <w:r>
        <w:rPr>
          <w:rFonts w:eastAsia="Times New Roman"/>
          <w:i/>
          <w:iCs/>
          <w:lang w:val="en-IE"/>
        </w:rPr>
        <w:t>Fish and Shellfish Immunology</w:t>
      </w:r>
      <w:r>
        <w:rPr>
          <w:rFonts w:eastAsia="Times New Roman"/>
          <w:lang w:val="en-IE"/>
        </w:rPr>
        <w:t xml:space="preserve">, </w:t>
      </w:r>
      <w:r>
        <w:rPr>
          <w:rFonts w:eastAsia="Times New Roman"/>
          <w:i/>
          <w:iCs/>
          <w:lang w:val="en-IE"/>
        </w:rPr>
        <w:t>28</w:t>
      </w:r>
      <w:r>
        <w:rPr>
          <w:rFonts w:eastAsia="Times New Roman"/>
          <w:lang w:val="en-IE"/>
        </w:rPr>
        <w:t>(4). https://doi.org/10.1016/j.fsi.2009.12.025</w:t>
      </w:r>
    </w:p>
    <w:p>
      <w:pPr>
        <w:pStyle w:val="Normal"/>
        <w:spacing w:lineRule="auto" w:line="276"/>
        <w:ind w:hanging="480"/>
        <w:rPr>
          <w:rFonts w:eastAsia="Times New Roman"/>
        </w:rPr>
      </w:pPr>
      <w:r>
        <w:rPr>
          <w:rFonts w:eastAsia="Times New Roman"/>
          <w:lang w:val="en-IE"/>
        </w:rPr>
        <w:t xml:space="preserve">Swain, P., Dash, S., Sahoo, P. K., Routray, P., Sahoo, S. K., Gupta, S. D., Meher, P. K., &amp; Sarangi, N. (2007). Non-specific immune parameters of brood Indian major carp Labeo rohita and their seasonal variations. </w:t>
      </w:r>
      <w:r>
        <w:rPr>
          <w:rFonts w:eastAsia="Times New Roman"/>
          <w:i/>
          <w:iCs/>
        </w:rPr>
        <w:t>Fish and Shellfish Immunology</w:t>
      </w:r>
      <w:r>
        <w:rPr>
          <w:rFonts w:eastAsia="Times New Roman"/>
        </w:rPr>
        <w:t xml:space="preserve">, </w:t>
      </w:r>
      <w:r>
        <w:rPr>
          <w:rFonts w:eastAsia="Times New Roman"/>
          <w:i/>
          <w:iCs/>
        </w:rPr>
        <w:t>22</w:t>
      </w:r>
      <w:r>
        <w:rPr>
          <w:rFonts w:eastAsia="Times New Roman"/>
        </w:rPr>
        <w:t>(1). https://doi.org/10.1016/j.fsi.2006.03.010</w:t>
      </w:r>
    </w:p>
    <w:p>
      <w:pPr>
        <w:pStyle w:val="Standard"/>
        <w:shd w:val="clear" w:color="auto" w:fill="FFF2CC" w:themeFill="accent4" w:themeFillTint="33"/>
        <w:spacing w:lineRule="auto" w:line="276"/>
        <w:jc w:val="both"/>
        <w:rPr>
          <w:lang w:val="en-IE"/>
        </w:rPr>
      </w:pPr>
      <w:r>
        <w:rPr>
          <w:rFonts w:eastAsia="Times New Roman"/>
        </w:rPr>
        <w: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Light">
    <w:charset w:val="01"/>
    <w:family w:val="auto"/>
    <w:pitch w:val="default"/>
  </w:font>
  <w:font w:name="Cambria">
    <w:charset w:val="00"/>
    <w:family w:val="roman"/>
    <w:pitch w:val="variable"/>
  </w:font>
</w:fonts>
</file>

<file path=word/settings.xml><?xml version="1.0" encoding="utf-8"?>
<w:settings xmlns:w="http://schemas.openxmlformats.org/wordprocessingml/2006/main">
  <w:zoom w:percent="8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NSimSun" w:cs="Times New Roman" w:asciiTheme="minorHAnsi" w:hAnsiTheme="minorHAnsi"/>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Calibri Light" w:hAnsi="Calibri Light" w:eastAsia="NSimSun" w:cs="Times New Roman" w:asciiTheme="minorHAnsi" w:hAnsiTheme="minorHAnsi"/>
      <w:color w:val="auto"/>
      <w:kern w:val="2"/>
      <w:sz w:val="24"/>
      <w:szCs w:val="24"/>
      <w:lang w:val="es-ES" w:eastAsia="zh-CN" w:bidi="hi-IN"/>
    </w:rPr>
  </w:style>
  <w:style w:type="paragraph" w:styleId="Heading1">
    <w:name w:val="heading 1"/>
    <w:basedOn w:val="Ttulo"/>
    <w:next w:val="Textbody"/>
    <w:uiPriority w:val="9"/>
    <w:qFormat/>
    <w:pPr>
      <w:outlineLvl w:val="0"/>
    </w:pPr>
    <w:rPr>
      <w:rFonts w:ascii="Liberation Serif" w:hAnsi="Liberation Serif" w:eastAsia="NSimSun"/>
      <w:b/>
      <w:bCs/>
      <w:sz w:val="48"/>
      <w:szCs w:val="48"/>
    </w:rPr>
  </w:style>
  <w:style w:type="character" w:styleId="DefaultParagraphFont" w:default="1">
    <w:name w:val="Default Paragraph Font"/>
    <w:uiPriority w:val="1"/>
    <w:unhideWhenUsed/>
    <w:qFormat/>
    <w:rPr/>
  </w:style>
  <w:style w:type="character" w:styleId="Internetlink" w:customStyle="1">
    <w:name w:val="Internet link"/>
    <w:qFormat/>
    <w:rPr>
      <w:color w:val="000080"/>
      <w:u w:val="single"/>
    </w:rPr>
  </w:style>
  <w:style w:type="character" w:styleId="Emphasis">
    <w:name w:val="Emphasis"/>
    <w:qFormat/>
    <w:rPr>
      <w:i/>
      <w:iCs/>
    </w:rPr>
  </w:style>
  <w:style w:type="character" w:styleId="PlaceholderText">
    <w:name w:val="Placeholder Text"/>
    <w:basedOn w:val="DefaultParagraphFont"/>
    <w:uiPriority w:val="99"/>
    <w:semiHidden/>
    <w:qFormat/>
    <w:rsid w:val="00274e61"/>
    <w:rPr>
      <w:color w:val="666666"/>
    </w:rPr>
  </w:style>
  <w:style w:type="character" w:styleId="EncabezadoCar" w:customStyle="1">
    <w:name w:val="Encabezado Car"/>
    <w:basedOn w:val="DefaultParagraphFont"/>
    <w:uiPriority w:val="99"/>
    <w:qFormat/>
    <w:rsid w:val="00a14750"/>
    <w:rPr>
      <w:rFonts w:cs="Mangal"/>
      <w:szCs w:val="21"/>
    </w:rPr>
  </w:style>
  <w:style w:type="character" w:styleId="PiedepginaCar" w:customStyle="1">
    <w:name w:val="Pie de página Car"/>
    <w:basedOn w:val="DefaultParagraphFont"/>
    <w:uiPriority w:val="99"/>
    <w:qFormat/>
    <w:rsid w:val="00a14750"/>
    <w:rPr>
      <w:rFonts w:cs="Mangal"/>
      <w:szCs w:val="21"/>
    </w:rPr>
  </w:style>
  <w:style w:type="paragraph" w:styleId="Ttulo" w:customStyle="1">
    <w:name w:val="Título"/>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ndice" w:customStyle="1">
    <w:name w:val="Índice"/>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Calibri Light" w:hAnsi="Calibri Light" w:eastAsia="NSimSun" w:cs="Times New Roman" w:asciiTheme="minorHAnsi" w:hAnsiTheme="minorHAnsi"/>
      <w:color w:val="auto"/>
      <w:kern w:val="2"/>
      <w:sz w:val="24"/>
      <w:szCs w:val="24"/>
      <w:lang w:val="es-ES" w:eastAsia="zh-CN" w:bidi="hi-IN"/>
    </w:rPr>
  </w:style>
  <w:style w:type="paragraph" w:styleId="Textbody" w:customStyle="1">
    <w:name w:val="Text body"/>
    <w:basedOn w:val="Standard"/>
    <w:qFormat/>
    <w:pPr>
      <w:spacing w:lineRule="auto" w:line="276" w:before="0" w:after="140"/>
    </w:pPr>
    <w:rPr/>
  </w:style>
  <w:style w:type="paragraph" w:styleId="Contenidodelatabla" w:customStyle="1">
    <w:name w:val="Contenido de la tabla"/>
    <w:basedOn w:val="Standard"/>
    <w:qFormat/>
    <w:pPr>
      <w:widowControl w:val="false"/>
      <w:suppressLineNumbers/>
    </w:pPr>
    <w:rPr/>
  </w:style>
  <w:style w:type="paragraph" w:styleId="Ttulodelatabla" w:customStyle="1">
    <w:name w:val="Título de la tabla"/>
    <w:basedOn w:val="Contenidodelatabla"/>
    <w:qFormat/>
    <w:pPr>
      <w:jc w:val="center"/>
    </w:pPr>
    <w:rPr>
      <w:b/>
      <w:bCs/>
    </w:rPr>
  </w:style>
  <w:style w:type="paragraph" w:styleId="Cabeceraypie">
    <w:name w:val="Cabecera y pie"/>
    <w:basedOn w:val="Normal"/>
    <w:qFormat/>
    <w:pPr/>
    <w:rPr/>
  </w:style>
  <w:style w:type="paragraph" w:styleId="Header">
    <w:name w:val="header"/>
    <w:basedOn w:val="Normal"/>
    <w:link w:val="EncabezadoCar"/>
    <w:uiPriority w:val="99"/>
    <w:unhideWhenUsed/>
    <w:rsid w:val="00a14750"/>
    <w:pPr>
      <w:tabs>
        <w:tab w:val="clear" w:pos="709"/>
        <w:tab w:val="center" w:pos="4252" w:leader="none"/>
        <w:tab w:val="right" w:pos="8504" w:leader="none"/>
      </w:tabs>
    </w:pPr>
    <w:rPr>
      <w:rFonts w:cs="Mangal"/>
      <w:szCs w:val="21"/>
    </w:rPr>
  </w:style>
  <w:style w:type="paragraph" w:styleId="Footer">
    <w:name w:val="footer"/>
    <w:basedOn w:val="Normal"/>
    <w:link w:val="PiedepginaCar"/>
    <w:uiPriority w:val="99"/>
    <w:unhideWhenUsed/>
    <w:rsid w:val="00a14750"/>
    <w:pPr>
      <w:tabs>
        <w:tab w:val="clear" w:pos="709"/>
        <w:tab w:val="center" w:pos="4252" w:leader="none"/>
        <w:tab w:val="right" w:pos="8504" w:leader="none"/>
      </w:tabs>
    </w:pPr>
    <w:rPr>
      <w:rFonts w:cs="Mangal"/>
      <w:szCs w:val="21"/>
    </w:rPr>
  </w:style>
  <w:style w:type="paragraph" w:styleId="msonormal" w:customStyle="1">
    <w:name w:val="msonormal"/>
    <w:basedOn w:val="Normal"/>
    <w:qFormat/>
    <w:rsid w:val="000a4635"/>
    <w:pPr>
      <w:suppressAutoHyphens w:val="false"/>
      <w:spacing w:beforeAutospacing="1" w:afterAutospacing="1"/>
      <w:textAlignment w:val="auto"/>
    </w:pPr>
    <w:rPr>
      <w:rFonts w:ascii="Times New Roman" w:hAnsi="Times New Roman" w:eastAsia="" w:eastAsiaTheme="minorEastAsia"/>
      <w:kern w:val="0"/>
      <w:lang w:eastAsia="es-ES" w:bidi="ar-SA"/>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glossaryDocument" Target="glossary/document.xml"/><Relationship Id="rId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ED019D"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482A80"/>
    <w:rsid w:val="006C4EBC"/>
    <w:rsid w:val="006D447D"/>
    <w:rsid w:val="00A26418"/>
    <w:rsid w:val="00CF0AE0"/>
    <w:rsid w:val="00E058DF"/>
    <w:rsid w:val="00ED019D"/>
    <w:rsid w:val="00F633EE"/>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pitchFamily="0" charset="1"/>
        <a:ea typeface=""/>
        <a:cs typeface=""/>
      </a:majorFont>
      <a:minorFont>
        <a:latin typeface="Calibri Light"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Application>LibreOffice/24.8.5.2$Windows_X86_64 LibreOffice_project/fddf2685c70b461e7832239a0162a77216259f22</Application>
  <AppVersion>15.0000</AppVersion>
  <Pages>6</Pages>
  <Words>2114</Words>
  <Characters>12510</Characters>
  <CharactersWithSpaces>14569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2025-03-17T10:11:00Z</dcterms:created>
  <dc:creator>Alberto Coll</dc:creator>
  <dc:description/>
  <dc:language>es-ES</dc:language>
  <cp:lastModifiedBy/>
  <dcterms:modified xsi:type="dcterms:W3CDTF">2025-03-25T12:14:35Z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