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1. Introduction</w:t>
      </w:r>
    </w:p>
    <w:p w:rsidR="0019707F" w:rsidRPr="00A14750" w:rsidRDefault="0019707F" w:rsidP="00E41A7D">
      <w:pPr>
        <w:pStyle w:val="Standard"/>
        <w:spacing w:line="276" w:lineRule="auto"/>
        <w:jc w:val="both"/>
        <w:rPr>
          <w:lang w:val="en-IE"/>
        </w:rPr>
      </w:pPr>
    </w:p>
    <w:p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rsidR="0019707F" w:rsidRPr="00A14750" w:rsidRDefault="0019707F" w:rsidP="00E41A7D">
      <w:pPr>
        <w:pStyle w:val="Standard"/>
        <w:spacing w:line="276" w:lineRule="auto"/>
        <w:jc w:val="both"/>
        <w:rPr>
          <w:rFonts w:asciiTheme="majorHAnsi" w:hAnsiTheme="majorHAnsi"/>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Wild anemones were obtained from the natural environment off the coast of Granada (Andalusia, Spain) in</w:t>
      </w:r>
      <w:r w:rsidR="005C35F9" w:rsidRPr="00A14750">
        <w:rPr>
          <w:lang w:val="en-IE"/>
        </w:rPr>
        <w:t xml:space="preserve"> </w:t>
      </w:r>
      <w:r w:rsidR="005C35F9" w:rsidRPr="00794107">
        <w:rPr>
          <w:shd w:val="clear" w:color="auto" w:fill="C6FAF5"/>
          <w:lang w:val="en-IE"/>
        </w:rPr>
        <w:t>(month-year)</w:t>
      </w:r>
      <w:r w:rsidR="005C35F9" w:rsidRPr="00A14750">
        <w:rPr>
          <w:lang w:val="en-IE"/>
        </w:rPr>
        <w:t xml:space="preserve"> </w:t>
      </w:r>
      <w:r w:rsidRPr="00A14750">
        <w:rPr>
          <w:lang w:val="en-IE"/>
        </w:rPr>
        <w:t xml:space="preserve">with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floating baskets in a concrete 8000 L outdoor re-circulation tank. The tank was equipped with</w:t>
      </w:r>
      <w:r w:rsidR="005C35F9" w:rsidRPr="00A14750">
        <w:rPr>
          <w:lang w:val="en-IE"/>
        </w:rPr>
        <w:t xml:space="preserve"> </w:t>
      </w:r>
      <w:r w:rsidR="005C35F9" w:rsidRPr="00794107">
        <w:rPr>
          <w:shd w:val="clear" w:color="auto" w:fill="C6FAF5"/>
          <w:lang w:val="en-IE"/>
        </w:rPr>
        <w:t>(filtration system details)</w:t>
      </w:r>
      <w:r w:rsidRPr="00794107">
        <w:rPr>
          <w:shd w:val="clear" w:color="auto" w:fill="C6FAF5"/>
          <w:lang w:val="en-IE"/>
        </w:rPr>
        <w:t>.</w:t>
      </w:r>
      <w:r w:rsidRPr="00794107">
        <w:rPr>
          <w:lang w:val="en-IE"/>
        </w:rPr>
        <w:t xml:space="preserve"> And used natural seawater, obtained by pumping from a well and filtered before flowing into the aquaculture circuit. </w:t>
      </w:r>
      <w:r w:rsidR="005C35F9" w:rsidRPr="00794107">
        <w:rPr>
          <w:lang w:val="en-IE"/>
        </w:rPr>
        <w:t xml:space="preserve"> </w:t>
      </w:r>
      <w:r w:rsidR="005C35F9" w:rsidRPr="00794107">
        <w:rPr>
          <w:shd w:val="clear" w:color="auto" w:fill="C6FAF5"/>
          <w:lang w:val="en-IE"/>
        </w:rPr>
        <w:t>(Nº of baskets and anemones, scale of the experiment</w:t>
      </w:r>
      <w:r w:rsidR="005C35F9" w:rsidRPr="00794107">
        <w:rPr>
          <w:lang w:val="en-IE"/>
        </w:rPr>
        <w:t>).</w:t>
      </w:r>
      <w:r w:rsidR="005C35F9" w:rsidRPr="00A14750">
        <w:rPr>
          <w:shd w:val="clear" w:color="auto" w:fill="FFD74C"/>
          <w:lang w:val="en-IE"/>
        </w:rPr>
        <w:t xml:space="preserve">  </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Other organisms with different trophic level were introduced in the tank so as to create an IMTA </w:t>
      </w:r>
      <w:r w:rsidRPr="00A8691C">
        <w:rPr>
          <w:lang w:val="en-IE"/>
        </w:rPr>
        <w:t xml:space="preserve">environment </w:t>
      </w:r>
      <w:r w:rsidR="001E0AC3" w:rsidRPr="001E0AC3">
        <w:rPr>
          <w:color w:val="000000"/>
          <w:lang w:val="en-IE"/>
        </w:rPr>
        <w:t>(Coll et al., 2025)</w:t>
      </w:r>
      <w:r w:rsidRPr="00A14750">
        <w:rPr>
          <w:lang w:val="en-IE"/>
        </w:rPr>
        <w:t>. These organisms were sea urchins (</w:t>
      </w:r>
      <w:proofErr w:type="spellStart"/>
      <w:r w:rsidRPr="00A14750">
        <w:rPr>
          <w:i/>
          <w:iCs/>
          <w:lang w:val="en-IE"/>
        </w:rPr>
        <w:t>Paracentrotus</w:t>
      </w:r>
      <w:proofErr w:type="spellEnd"/>
      <w:r w:rsidRPr="00A14750">
        <w:rPr>
          <w:i/>
          <w:iCs/>
          <w:lang w:val="en-IE"/>
        </w:rPr>
        <w:t xml:space="preserve"> lividus</w:t>
      </w:r>
      <w:r w:rsidRPr="00A14750">
        <w:rPr>
          <w:lang w:val="en-IE"/>
        </w:rPr>
        <w:t>), sea snails (</w:t>
      </w:r>
      <w:proofErr w:type="spellStart"/>
      <w:r w:rsidRPr="00A14750">
        <w:rPr>
          <w:rStyle w:val="nfasis"/>
          <w:lang w:val="en-IE"/>
        </w:rPr>
        <w:t>Monodonta</w:t>
      </w:r>
      <w:proofErr w:type="spellEnd"/>
      <w:r w:rsidRPr="00A14750">
        <w:rPr>
          <w:rStyle w:val="nfasis"/>
          <w:lang w:val="en-IE"/>
        </w:rPr>
        <w:t xml:space="preserve"> turbinata</w:t>
      </w:r>
      <w:r w:rsidRPr="00A14750">
        <w:rPr>
          <w:lang w:val="en-IE"/>
        </w:rPr>
        <w:t>), sea cucumbers (</w:t>
      </w:r>
      <w:r w:rsidRPr="00A14750">
        <w:rPr>
          <w:i/>
          <w:iCs/>
          <w:lang w:val="en-IE"/>
        </w:rPr>
        <w:t xml:space="preserve">Holothuria </w:t>
      </w:r>
      <w:proofErr w:type="spellStart"/>
      <w:r w:rsidRPr="00A14750">
        <w:rPr>
          <w:i/>
          <w:iCs/>
          <w:lang w:val="en-IE"/>
        </w:rPr>
        <w:t>tubulosa</w:t>
      </w:r>
      <w:proofErr w:type="spellEnd"/>
      <w:r w:rsidRPr="00A14750">
        <w:rPr>
          <w:lang w:val="en-IE"/>
        </w:rPr>
        <w:t>) and macroalgae (</w:t>
      </w:r>
      <w:r w:rsidRPr="00A14750">
        <w:rPr>
          <w:i/>
          <w:iCs/>
          <w:lang w:val="en-IE"/>
        </w:rPr>
        <w:t>Ulva rigida</w:t>
      </w:r>
      <w:r w:rsidRPr="00A14750">
        <w:rPr>
          <w:lang w:val="en-IE"/>
        </w:rPr>
        <w:t xml:space="preserve">, </w:t>
      </w:r>
      <w:proofErr w:type="spellStart"/>
      <w:r w:rsidRPr="00A14750">
        <w:rPr>
          <w:i/>
          <w:iCs/>
          <w:lang w:val="en-IE"/>
        </w:rPr>
        <w:t>Cystoseira</w:t>
      </w:r>
      <w:proofErr w:type="spellEnd"/>
      <w:r w:rsidRPr="00A14750">
        <w:rPr>
          <w:i/>
          <w:iCs/>
          <w:lang w:val="en-IE"/>
        </w:rPr>
        <w:t xml:space="preserve"> </w:t>
      </w:r>
      <w:proofErr w:type="spellStart"/>
      <w:r w:rsidRPr="00A14750">
        <w:rPr>
          <w:i/>
          <w:iCs/>
          <w:lang w:val="en-IE"/>
        </w:rPr>
        <w:t>mediterranea</w:t>
      </w:r>
      <w:proofErr w:type="spellEnd"/>
      <w:r w:rsidRPr="00A14750">
        <w:rPr>
          <w:lang w:val="en-IE"/>
        </w:rPr>
        <w:t>).</w:t>
      </w:r>
      <w:r w:rsidR="00F27634" w:rsidRPr="00A14750">
        <w:rPr>
          <w:color w:val="023F62"/>
          <w:lang w:val="en-IE"/>
        </w:rPr>
        <w:t xml:space="preserve"> </w:t>
      </w:r>
      <w:r w:rsidR="00F27634" w:rsidRPr="00794107">
        <w:rPr>
          <w:shd w:val="clear" w:color="auto" w:fill="C6FAF5"/>
          <w:lang w:val="en-IE"/>
        </w:rPr>
        <w:t>(Include density table?)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In</w:t>
      </w:r>
      <w:r w:rsidR="00F27634" w:rsidRPr="00A14750">
        <w:rPr>
          <w:lang w:val="en-IE"/>
        </w:rPr>
        <w:t xml:space="preserve"> </w:t>
      </w:r>
      <w:r w:rsidR="00F27634" w:rsidRPr="00794107">
        <w:rPr>
          <w:shd w:val="clear" w:color="auto" w:fill="C6FAF5"/>
          <w:lang w:val="en-IE"/>
        </w:rPr>
        <w:t>(month-year)</w:t>
      </w:r>
      <w:r w:rsidRPr="00A14750">
        <w:rPr>
          <w:lang w:val="en-IE"/>
        </w:rPr>
        <w:t xml:space="preserve">, one month after the beginning of the experimental period, </w:t>
      </w:r>
      <w:r w:rsidR="00F27634" w:rsidRPr="00794107">
        <w:rPr>
          <w:shd w:val="clear" w:color="auto" w:fill="C6FAF5"/>
          <w:lang w:val="en-IE"/>
        </w:rPr>
        <w:t>(Nº)</w:t>
      </w:r>
      <w:r w:rsidR="00F27634" w:rsidRPr="00A14750">
        <w:rPr>
          <w:lang w:val="en-IE"/>
        </w:rPr>
        <w:t xml:space="preserve"> </w:t>
      </w:r>
      <w:r w:rsidRPr="00A14750">
        <w:rPr>
          <w:lang w:val="en-IE"/>
        </w:rPr>
        <w:t>anemones from different baskets were selected as experimental group, and they were sectioned in two through their pharyngeal biradial axis. Both halves were then left to heal, so as to generate two different clonal individuals.</w:t>
      </w:r>
      <w:r w:rsidR="00F27634" w:rsidRPr="00A14750">
        <w:rPr>
          <w:lang w:val="en-IE"/>
        </w:rPr>
        <w:t xml:space="preserve"> </w:t>
      </w:r>
      <w:r w:rsidR="00F27634" w:rsidRPr="00794107">
        <w:rPr>
          <w:shd w:val="clear" w:color="auto" w:fill="C6FAF5"/>
          <w:lang w:val="en-IE"/>
        </w:rPr>
        <w:t>(More information on healing process)</w:t>
      </w:r>
      <w:r w:rsidR="00794107" w:rsidRPr="00794107">
        <w:rPr>
          <w:shd w:val="clear" w:color="auto" w:fill="C6FAF5"/>
          <w:lang w:val="en-IE"/>
        </w:rPr>
        <w:t>.</w:t>
      </w:r>
    </w:p>
    <w:p w:rsidR="00F27634" w:rsidRPr="00A14750" w:rsidRDefault="00F27634" w:rsidP="00E41A7D">
      <w:pPr>
        <w:pStyle w:val="Standard"/>
        <w:spacing w:line="276" w:lineRule="auto"/>
        <w:jc w:val="both"/>
        <w:rPr>
          <w:color w:val="C254D2"/>
          <w:lang w:val="en-IE"/>
        </w:rPr>
      </w:pPr>
    </w:p>
    <w:p w:rsidR="0019707F" w:rsidRPr="00A14750" w:rsidRDefault="00000000" w:rsidP="00E41A7D">
      <w:pPr>
        <w:pStyle w:val="Standard"/>
        <w:spacing w:line="276" w:lineRule="auto"/>
        <w:jc w:val="both"/>
        <w:rPr>
          <w:lang w:val="en-IE"/>
        </w:rPr>
      </w:pPr>
      <w:r w:rsidRPr="00A14750">
        <w:rPr>
          <w:lang w:val="en-IE"/>
        </w:rPr>
        <w:t>Sampling was carried out at two different temporal stages. The first sampling</w:t>
      </w:r>
      <w:r w:rsidR="00C96FD2">
        <w:rPr>
          <w:lang w:val="en-IE"/>
        </w:rPr>
        <w:t xml:space="preserve"> (T0)</w:t>
      </w:r>
      <w:r w:rsidRPr="00A14750">
        <w:rPr>
          <w:lang w:val="en-IE"/>
        </w:rPr>
        <w:t xml:space="preserve"> took place 4 weeks after the sectioning procedure, once the anemones had had time to heal completely</w:t>
      </w:r>
      <w:r w:rsidR="00F27634" w:rsidRPr="00A14750">
        <w:rPr>
          <w:lang w:val="en-IE"/>
        </w:rPr>
        <w:t xml:space="preserve">. </w:t>
      </w:r>
      <w:r w:rsidR="00F27634" w:rsidRPr="00794107">
        <w:rPr>
          <w:shd w:val="clear" w:color="auto" w:fill="C6FAF5"/>
          <w:lang w:val="en-IE"/>
        </w:rPr>
        <w:t>(Mortality)</w:t>
      </w:r>
      <w:r w:rsidRPr="00A14750">
        <w:rPr>
          <w:lang w:val="en-IE"/>
        </w:rPr>
        <w:t>. 9 sectioned anemones were selected, as well as 9 control anemones which had not undergone the procedure. The second sampling</w:t>
      </w:r>
      <w:r w:rsidR="00C96FD2">
        <w:rPr>
          <w:lang w:val="en-IE"/>
        </w:rPr>
        <w:t xml:space="preserve"> (T1)</w:t>
      </w:r>
      <w:r w:rsidRPr="00A14750">
        <w:rPr>
          <w:lang w:val="en-IE"/>
        </w:rPr>
        <w:t xml:space="preserve"> took place 16 weeks after, in month year, and again 9 control anemones and 9 sectioned anemones were collected. In both samples,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rpm for 30 minutes at 4ºC (Sigma 3 K30), and the supernatant was collected and stored at -80 ºC for posterior analysis.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DF3FEB">
        <w:rPr>
          <w:lang w:val="en-IE"/>
        </w:rPr>
        <w:lastRenderedPageBreak/>
        <w:t xml:space="preserve">Superoxide dismutase (SOD) (EC 1.15.1.1) activity was determined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r w:rsidRPr="00DF3FEB">
        <w:rPr>
          <w:lang w:val="en-IE"/>
        </w:rPr>
        <w:t xml:space="preserve"> method, consisting on an indirect measurement as the degree of inhibition of cytochrome c reduction. Determination of catalase (CAT) (EC 1.11.1.6) activity was performed using </w:t>
      </w:r>
      <w:r w:rsidR="001E0AC3" w:rsidRPr="001E0AC3">
        <w:rPr>
          <w:color w:val="000000"/>
          <w:shd w:val="clear" w:color="auto" w:fill="FFF2CC" w:themeFill="accent4" w:themeFillTint="33"/>
          <w:lang w:val="en-IE"/>
        </w:rPr>
        <w:t>Aebi (1984)</w:t>
      </w:r>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r w:rsidRPr="00A14750">
        <w:rPr>
          <w:lang w:val="en-IE"/>
        </w:rPr>
        <w:t xml:space="preserve"> method, consisting on a measure of the absorbance decrement caused by NADPH oxidation. 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r w:rsidR="001E0AC3" w:rsidRPr="00AB2853">
        <w:rPr>
          <w:rFonts w:eastAsia="Times New Roman"/>
          <w:color w:val="000000"/>
          <w:shd w:val="clear" w:color="auto" w:fill="FFF2CC" w:themeFill="accent4" w:themeFillTint="33"/>
          <w:lang w:val="en-IE"/>
        </w:rPr>
        <w:t>Löhr &amp; Waller (1965)</w:t>
      </w:r>
      <w:r w:rsidR="00DF3FEB">
        <w:rPr>
          <w:lang w:val="en-IE"/>
        </w:rPr>
        <w:t>,</w:t>
      </w:r>
      <w:r w:rsidRPr="00A14750">
        <w:rPr>
          <w:lang w:val="en-IE"/>
        </w:rPr>
        <w:t xml:space="preserve"> based on recording the change in absorbance due to NADPH production by the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r w:rsidR="001E0AC3" w:rsidRPr="001E0AC3">
        <w:rPr>
          <w:rFonts w:eastAsia="Times New Roman"/>
          <w:color w:val="000000"/>
          <w:lang w:val="en-IE"/>
        </w:rPr>
        <w:t>Frasco &amp; Guilhermino (2002)</w:t>
      </w:r>
      <w:r w:rsidRPr="00A8691C">
        <w:rPr>
          <w:lang w:val="en-IE"/>
        </w:rPr>
        <w:t xml:space="preserve">, based on the formation of a conjugate between glutathione and 2,4-dinitrochlorobenzene that increases absorbance. DT-diaphorase (DTD) (EC 1.6.99.2) activity was determined using a modified method of </w:t>
      </w:r>
      <w:r w:rsidR="001E0AC3" w:rsidRPr="001E0AC3">
        <w:rPr>
          <w:color w:val="000000"/>
          <w:shd w:val="clear" w:color="auto" w:fill="FFF2CC" w:themeFill="accent4" w:themeFillTint="33"/>
          <w:lang w:val="en-IE"/>
        </w:rPr>
        <w:t>Lemaire et al. (1996)</w:t>
      </w:r>
      <w:r w:rsidRPr="00A8691C">
        <w:rPr>
          <w:lang w:val="en-IE"/>
        </w:rPr>
        <w:t>, based on the reduction of 2,6-dichlorophenol indophenol, that results in a decrease in absorbance.</w:t>
      </w:r>
    </w:p>
    <w:p w:rsidR="0019707F" w:rsidRPr="00A14750"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r w:rsidRPr="00A14750">
        <w:rPr>
          <w:lang w:val="en-IE"/>
        </w:rPr>
        <w:t>Soluble protein content of the samples was quantified</w:t>
      </w:r>
      <w:r w:rsidR="0066315D">
        <w:rPr>
          <w:lang w:val="en-IE"/>
        </w:rPr>
        <w:t xml:space="preserve"> following</w:t>
      </w:r>
      <w:r w:rsidRPr="00A14750">
        <w:rPr>
          <w:lang w:val="en-IE"/>
        </w:rPr>
        <w:t xml:space="preserve"> </w:t>
      </w:r>
      <w:r w:rsidR="001E0AC3" w:rsidRPr="001E0AC3">
        <w:rPr>
          <w:color w:val="000000"/>
          <w:shd w:val="clear" w:color="auto" w:fill="FFF2CC" w:themeFill="accent4" w:themeFillTint="33"/>
          <w:lang w:val="en-IE"/>
        </w:rPr>
        <w:t>Bradford (1976)</w:t>
      </w:r>
      <w:r w:rsidRPr="00A14750">
        <w:rPr>
          <w:lang w:val="en-IE"/>
        </w:rPr>
        <w:t xml:space="preserve"> method in order to express enzymatic activities as specific activity. Units of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r w:rsidR="001E0AC3" w:rsidRPr="001E0AC3">
        <w:rPr>
          <w:color w:val="000000"/>
          <w:shd w:val="clear" w:color="auto" w:fill="FFF2CC" w:themeFill="accent4" w:themeFillTint="33"/>
          <w:lang w:val="en-IE"/>
        </w:rPr>
        <w:t>(Coll et al., 2025)</w:t>
      </w:r>
      <w:r w:rsidRPr="00896764">
        <w:rPr>
          <w:lang w:val="en-IE"/>
        </w:rPr>
        <w:t>. For SOD, units of activity had a different definition, as the amount of enzyme required to generate a 50% inhibition in the reduction of cytochrome c.</w:t>
      </w:r>
    </w:p>
    <w:p w:rsidR="0019707F" w:rsidRPr="00896764" w:rsidRDefault="0019707F" w:rsidP="00E41A7D">
      <w:pPr>
        <w:pStyle w:val="Standard"/>
        <w:spacing w:line="276" w:lineRule="auto"/>
        <w:jc w:val="both"/>
        <w:rPr>
          <w:lang w:val="en-IE"/>
        </w:rPr>
      </w:pPr>
    </w:p>
    <w:p w:rsidR="0019707F" w:rsidRPr="00896764" w:rsidRDefault="001E0AC3" w:rsidP="00E41A7D">
      <w:pPr>
        <w:pStyle w:val="Standard"/>
        <w:spacing w:line="276" w:lineRule="auto"/>
        <w:jc w:val="both"/>
        <w:rPr>
          <w:lang w:val="en-IE"/>
        </w:rPr>
      </w:pPr>
      <w:r w:rsidRPr="001E0AC3">
        <w:rPr>
          <w:color w:val="000000"/>
          <w:shd w:val="clear" w:color="auto" w:fill="FFF2CC" w:themeFill="accent4" w:themeFillTint="33"/>
          <w:lang w:val="en-IE"/>
        </w:rPr>
        <w:t>Erel (2004)</w:t>
      </w:r>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sidR="00CB7EAC" w:rsidRPr="00AB2853">
        <w:rPr>
          <w:shd w:val="clear" w:color="auto" w:fill="FFF2CC" w:themeFill="accent4" w:themeFillTint="33"/>
          <w:lang w:val="en-IE"/>
        </w:rPr>
        <w:t>from</w:t>
      </w:r>
      <w:r w:rsidR="00CB7EAC" w:rsidRPr="00896764">
        <w:rPr>
          <w:lang w:val="en-IE"/>
        </w:rPr>
        <w:t xml:space="preserve"> </w:t>
      </w:r>
      <w:r w:rsidRPr="001E0AC3">
        <w:rPr>
          <w:rFonts w:eastAsia="Times New Roman"/>
          <w:color w:val="000000"/>
          <w:lang w:val="en-IE"/>
        </w:rPr>
        <w:t xml:space="preserve">Buege &amp; </w:t>
      </w:r>
      <w:proofErr w:type="spellStart"/>
      <w:r w:rsidRPr="001E0AC3">
        <w:rPr>
          <w:rFonts w:eastAsia="Times New Roman"/>
          <w:color w:val="000000"/>
          <w:lang w:val="en-IE"/>
        </w:rPr>
        <w:t>Aust</w:t>
      </w:r>
      <w:proofErr w:type="spellEnd"/>
      <w:r w:rsidRPr="001E0AC3">
        <w:rPr>
          <w:rFonts w:eastAsia="Times New Roman"/>
          <w:color w:val="000000"/>
          <w:lang w:val="en-IE"/>
        </w:rPr>
        <w:t xml:space="preserve"> (1978)</w:t>
      </w:r>
      <w:r w:rsidR="00CB7EAC" w:rsidRPr="00896764">
        <w:rPr>
          <w:lang w:val="en-IE"/>
        </w:rPr>
        <w:t xml:space="preserve"> and using malondialdehyde (MDA) as a standard.</w:t>
      </w:r>
    </w:p>
    <w:p w:rsidR="0019707F" w:rsidRPr="00896764"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2.3. Non-specific immune parameters</w:t>
      </w:r>
    </w:p>
    <w:p w:rsidR="0019707F" w:rsidRPr="00896764"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896764">
        <w:rPr>
          <w:lang w:val="en-IE"/>
        </w:rPr>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used </w:t>
      </w:r>
      <w:r w:rsidRPr="00AB2853">
        <w:rPr>
          <w:shd w:val="clear" w:color="auto" w:fill="FFF2CC" w:themeFill="accent4" w:themeFillTint="33"/>
          <w:lang w:val="en-IE"/>
        </w:rPr>
        <w:t>by</w:t>
      </w:r>
      <w:r w:rsidRPr="00896764">
        <w:rPr>
          <w:lang w:val="en-IE"/>
        </w:rPr>
        <w:t xml:space="preserve"> </w:t>
      </w:r>
      <w:r w:rsidR="001E0AC3" w:rsidRPr="001E0AC3">
        <w:rPr>
          <w:rFonts w:eastAsia="Times New Roman"/>
          <w:color w:val="000000"/>
          <w:lang w:val="en-IE"/>
        </w:rPr>
        <w:t>Easy &amp; Ross (2010)</w:t>
      </w:r>
      <w:r w:rsidRPr="00896764">
        <w:rPr>
          <w:lang w:val="en-IE"/>
        </w:rPr>
        <w:t xml:space="preserve"> and </w:t>
      </w:r>
      <w:r w:rsidR="001E0AC3" w:rsidRPr="001E0AC3">
        <w:rPr>
          <w:color w:val="000000"/>
          <w:shd w:val="clear" w:color="auto" w:fill="FFF2CC" w:themeFill="accent4" w:themeFillTint="33"/>
          <w:lang w:val="en-IE"/>
        </w:rPr>
        <w:t>Huang et al. (2011)</w:t>
      </w:r>
      <w:r w:rsidRPr="00896764">
        <w:rPr>
          <w:lang w:val="en-IE"/>
        </w:rPr>
        <w:t xml:space="preserve">, based on the change of absorbance at 405 nm 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r w:rsidR="001E0AC3" w:rsidRPr="001E0AC3">
        <w:rPr>
          <w:color w:val="000000"/>
          <w:shd w:val="clear" w:color="auto" w:fill="FFF2CC" w:themeFill="accent4" w:themeFillTint="33"/>
          <w:lang w:val="en-IE"/>
        </w:rPr>
        <w:t>Swain et al. (2007)</w:t>
      </w:r>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r w:rsidR="001E0AC3" w:rsidRPr="001E0AC3">
        <w:rPr>
          <w:rFonts w:eastAsia="Times New Roman"/>
          <w:color w:val="000000"/>
          <w:lang w:val="en-IE"/>
        </w:rPr>
        <w:t>Mohanty &amp; Sahoo (2010)</w:t>
      </w:r>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lastRenderedPageBreak/>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(T0 and T1)</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sz w:val="32"/>
          <w:szCs w:val="32"/>
          <w:lang w:val="en-IE"/>
        </w:rPr>
      </w:pPr>
      <w:r w:rsidRPr="00E41A7D">
        <w:rPr>
          <w:sz w:val="32"/>
          <w:szCs w:val="32"/>
          <w:lang w:val="en-IE"/>
        </w:rPr>
        <w:t>3. Results</w:t>
      </w:r>
    </w:p>
    <w:p w:rsidR="005A0ED6" w:rsidRDefault="005A0ED6"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rsidR="008010B9" w:rsidRDefault="008010B9" w:rsidP="00E41A7D">
      <w:pPr>
        <w:pStyle w:val="Standard"/>
        <w:spacing w:line="276" w:lineRule="auto"/>
        <w:jc w:val="both"/>
        <w:rPr>
          <w:lang w:val="en-IE"/>
        </w:rPr>
      </w:pPr>
    </w:p>
    <w:p w:rsidR="005A0ED6" w:rsidRDefault="008010B9" w:rsidP="00E41A7D">
      <w:pPr>
        <w:pStyle w:val="Standard"/>
        <w:spacing w:line="276" w:lineRule="auto"/>
        <w:jc w:val="both"/>
        <w:rPr>
          <w:lang w:val="en-IE"/>
        </w:rPr>
      </w:pPr>
      <w:r>
        <w:rPr>
          <w:lang w:val="en-IE"/>
        </w:rPr>
        <w:t>SOD and CAT</w:t>
      </w:r>
    </w:p>
    <w:p w:rsidR="005A0ED6" w:rsidRDefault="005A0ED6" w:rsidP="00E41A7D">
      <w:pPr>
        <w:pStyle w:val="Standard"/>
        <w:spacing w:line="276" w:lineRule="auto"/>
        <w:jc w:val="both"/>
        <w:rPr>
          <w:lang w:val="en-IE"/>
        </w:rPr>
      </w:pPr>
      <w:r w:rsidRPr="00EA3A1A">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w:t>
      </w:r>
      <w:r w:rsidR="00485FC0">
        <w:rPr>
          <w:lang w:val="en-IE"/>
        </w:rPr>
        <w:t>A light tendency was found on tentacular SOD activity, where sectioned individuals yielded a slightly smaller activity, but this pattern was not found to be statistically significant.</w:t>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protocol, while there was no effect of time or interaction between both variables. </w:t>
      </w:r>
      <w:r w:rsidR="00C96FD2">
        <w:rPr>
          <w:lang w:val="en-IE"/>
        </w:rPr>
        <w:t>Tentacular</w:t>
      </w:r>
      <w:r w:rsidR="000D2593">
        <w:rPr>
          <w:lang w:val="en-IE"/>
        </w:rPr>
        <w:t xml:space="preserve"> CAT activity, however, featured </w:t>
      </w:r>
      <w:r w:rsidR="00C96FD2">
        <w:rPr>
          <w:lang w:val="en-IE"/>
        </w:rPr>
        <w:t xml:space="preserve">a significant interaction effect. At T0, </w:t>
      </w:r>
      <w:r w:rsidR="00073199">
        <w:rPr>
          <w:lang w:val="en-IE"/>
        </w:rPr>
        <w:t>sectioned anemones featured a significantly higher CAT activity than control anemones</w:t>
      </w:r>
      <w:r w:rsidR="00794107">
        <w:rPr>
          <w:lang w:val="en-IE"/>
        </w:rPr>
        <w:t xml:space="preserve"> </w:t>
      </w:r>
      <w:r w:rsidR="00794107" w:rsidRPr="00794107">
        <w:rPr>
          <w:shd w:val="clear" w:color="auto" w:fill="FCA6B8"/>
          <w:lang w:val="en-IE"/>
        </w:rPr>
        <w:t>(</w:t>
      </w:r>
      <w:r w:rsidR="00BE2D49">
        <w:rPr>
          <w:shd w:val="clear" w:color="auto" w:fill="FCA6B8"/>
          <w:lang w:val="en-IE"/>
        </w:rPr>
        <w:t>p = 0.000274, p &lt; 0.001</w:t>
      </w:r>
      <w:r w:rsidR="00794107" w:rsidRPr="00794107">
        <w:rPr>
          <w:shd w:val="clear" w:color="auto" w:fill="FCA6B8"/>
          <w:lang w:val="en-IE"/>
        </w:rPr>
        <w:t>)</w:t>
      </w:r>
      <w:r w:rsidR="00073199">
        <w:rPr>
          <w:lang w:val="en-IE"/>
        </w:rPr>
        <w:t>. However, a T1,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rsidR="00F96DD4" w:rsidRDefault="00F96DD4" w:rsidP="00E41A7D">
      <w:pPr>
        <w:pStyle w:val="Standard"/>
        <w:spacing w:line="276" w:lineRule="auto"/>
        <w:jc w:val="both"/>
        <w:rPr>
          <w:lang w:val="en-IE"/>
        </w:rPr>
      </w:pPr>
    </w:p>
    <w:p w:rsidR="00F96DD4" w:rsidRDefault="00F96DD4" w:rsidP="00E41A7D">
      <w:pPr>
        <w:pStyle w:val="Standard"/>
        <w:spacing w:line="276" w:lineRule="auto"/>
        <w:jc w:val="both"/>
        <w:rPr>
          <w:lang w:val="en-IE"/>
        </w:rPr>
      </w:pPr>
      <w:r>
        <w:rPr>
          <w:lang w:val="en-IE"/>
        </w:rPr>
        <w:t>GPx, GR and G6PDH</w:t>
      </w:r>
    </w:p>
    <w:p w:rsidR="00F96DD4" w:rsidRDefault="00F96DD4" w:rsidP="00E41A7D">
      <w:pPr>
        <w:pStyle w:val="Standard"/>
        <w:spacing w:line="276" w:lineRule="auto"/>
        <w:jc w:val="both"/>
        <w:rPr>
          <w:lang w:val="en-IE"/>
        </w:rPr>
      </w:pPr>
      <w:r>
        <w:rPr>
          <w:lang w:val="en-IE"/>
        </w:rPr>
        <w:t xml:space="preserve">GR activity is displayed in </w:t>
      </w:r>
      <w:r w:rsidRPr="00EA3A1A">
        <w:rPr>
          <w:shd w:val="clear" w:color="auto" w:fill="D8F89E"/>
          <w:lang w:val="en-IE"/>
        </w:rPr>
        <w:t>Figure 3</w:t>
      </w:r>
      <w:r>
        <w:rPr>
          <w:lang w:val="en-IE"/>
        </w:rPr>
        <w:t>. Time had a significant effect on both columnar and tentacular GR, as samples from T1 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p>
    <w:p w:rsidR="008010B9" w:rsidRDefault="008010B9" w:rsidP="00E41A7D">
      <w:pPr>
        <w:pStyle w:val="Standard"/>
        <w:spacing w:line="276" w:lineRule="auto"/>
        <w:jc w:val="both"/>
        <w:rPr>
          <w:lang w:val="en-IE"/>
        </w:rPr>
      </w:pPr>
    </w:p>
    <w:p w:rsidR="008010B9" w:rsidRDefault="008010B9" w:rsidP="00E41A7D">
      <w:pPr>
        <w:pStyle w:val="Standard"/>
        <w:spacing w:line="276" w:lineRule="auto"/>
        <w:jc w:val="both"/>
        <w:rPr>
          <w:lang w:val="en-IE"/>
        </w:rPr>
      </w:pPr>
      <w:r>
        <w:rPr>
          <w:lang w:val="en-IE"/>
        </w:rPr>
        <w:t>GST and DTD</w:t>
      </w:r>
    </w:p>
    <w:p w:rsidR="008010B9" w:rsidRDefault="008010B9" w:rsidP="00E41A7D">
      <w:pPr>
        <w:pStyle w:val="Standard"/>
        <w:spacing w:line="276" w:lineRule="auto"/>
        <w:jc w:val="both"/>
        <w:rPr>
          <w:lang w:val="en-IE"/>
        </w:rPr>
      </w:pPr>
      <w:r w:rsidRPr="00CC72CC">
        <w:rPr>
          <w:shd w:val="clear" w:color="auto" w:fill="D8F89E"/>
          <w:lang w:val="en-IE"/>
        </w:rPr>
        <w:lastRenderedPageBreak/>
        <w:t>Figure 4</w:t>
      </w:r>
      <w:r>
        <w:rPr>
          <w:lang w:val="en-IE"/>
        </w:rPr>
        <w:t xml:space="preserve"> shows GST activity on both body regions. While there were no significant differences in columnar GST activity, tentacular </w:t>
      </w:r>
      <w:r w:rsidR="0042443C">
        <w:rPr>
          <w:lang w:val="en-IE"/>
        </w:rPr>
        <w:t>samples</w:t>
      </w:r>
      <w:r>
        <w:rPr>
          <w:lang w:val="en-IE"/>
        </w:rPr>
        <w:t xml:space="preserve"> featured significant interaction between the two variables. At T0,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T1,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Columnar DTD activity (</w:t>
      </w:r>
      <w:r w:rsidR="001145D1" w:rsidRPr="00CC72CC">
        <w:rPr>
          <w:shd w:val="clear" w:color="auto" w:fill="D8F89E"/>
          <w:lang w:val="en-IE"/>
        </w:rPr>
        <w:t xml:space="preserve">Figure </w:t>
      </w:r>
      <w:r w:rsidR="00CC72CC" w:rsidRPr="00CC72CC">
        <w:rPr>
          <w:shd w:val="clear" w:color="auto" w:fill="D8F89E"/>
          <w:lang w:val="en-IE"/>
        </w:rPr>
        <w:t>5</w:t>
      </w:r>
      <w:r w:rsidR="001145D1" w:rsidRPr="00CC72CC">
        <w:rPr>
          <w:shd w:val="clear" w:color="auto" w:fill="D8F89E"/>
          <w:lang w:val="en-IE"/>
        </w:rPr>
        <w:t>. A)</w:t>
      </w:r>
      <w:r w:rsidR="001145D1">
        <w:rPr>
          <w:lang w:val="en-IE"/>
        </w:rPr>
        <w:t xml:space="preserve"> increased significantly on sectioned anemones. Tentacular </w:t>
      </w:r>
      <w:r w:rsidR="00CC72CC">
        <w:rPr>
          <w:lang w:val="en-IE"/>
        </w:rPr>
        <w:t>DTD activity</w:t>
      </w:r>
      <w:r w:rsidR="007007B3">
        <w:rPr>
          <w:lang w:val="en-IE"/>
        </w:rPr>
        <w:t xml:space="preserve"> </w:t>
      </w:r>
      <w:r w:rsidR="001145D1">
        <w:rPr>
          <w:lang w:val="en-IE"/>
        </w:rPr>
        <w:t>featured a significant interaction effect</w:t>
      </w:r>
      <w:r w:rsidR="00CC72CC">
        <w:rPr>
          <w:lang w:val="en-IE"/>
        </w:rPr>
        <w:t xml:space="preserve"> (Figure 5.B). A</w:t>
      </w:r>
      <w:r w:rsidR="001145D1">
        <w:rPr>
          <w:lang w:val="en-IE"/>
        </w:rPr>
        <w:t>nemones at T0 exhibited this same pattern of higher activity for sectioned individuals (</w:t>
      </w:r>
      <w:r w:rsidR="001145D1"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sidR="001145D1">
        <w:rPr>
          <w:lang w:val="en-IE"/>
        </w:rPr>
        <w:t xml:space="preserve">. At T1, </w:t>
      </w:r>
      <w:r w:rsidR="00D034F4">
        <w:rPr>
          <w:lang w:val="en-IE"/>
        </w:rPr>
        <w:t xml:space="preserve">however, </w:t>
      </w:r>
      <w:r w:rsidR="001145D1">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sidR="001145D1">
        <w:rPr>
          <w:lang w:val="en-IE"/>
        </w:rPr>
        <w:t>.</w:t>
      </w:r>
    </w:p>
    <w:p w:rsidR="009A23F4" w:rsidRDefault="009A23F4" w:rsidP="00E41A7D">
      <w:pPr>
        <w:pStyle w:val="Standard"/>
        <w:spacing w:line="276" w:lineRule="auto"/>
        <w:jc w:val="both"/>
        <w:rPr>
          <w:lang w:val="en-IE"/>
        </w:rPr>
      </w:pPr>
    </w:p>
    <w:p w:rsidR="009A23F4" w:rsidRDefault="009A23F4" w:rsidP="00E41A7D">
      <w:pPr>
        <w:pStyle w:val="Standard"/>
        <w:spacing w:line="276" w:lineRule="auto"/>
        <w:jc w:val="both"/>
        <w:rPr>
          <w:lang w:val="en-IE"/>
        </w:rPr>
      </w:pPr>
      <w:r>
        <w:rPr>
          <w:lang w:val="en-IE"/>
        </w:rPr>
        <w:t>TEAC and MDA</w:t>
      </w:r>
    </w:p>
    <w:p w:rsidR="009A23F4" w:rsidRDefault="00C34D82" w:rsidP="00E41A7D">
      <w:pPr>
        <w:pStyle w:val="Standard"/>
        <w:spacing w:line="276" w:lineRule="auto"/>
        <w:jc w:val="both"/>
        <w:rPr>
          <w:lang w:val="en-IE"/>
        </w:rPr>
      </w:pPr>
      <w:r>
        <w:rPr>
          <w:lang w:val="en-IE"/>
        </w:rPr>
        <w:t xml:space="preserve">Total Antioxidant Capacity, measured as TEAC, is displayed on </w:t>
      </w:r>
      <w:r w:rsidRPr="00254FAF">
        <w:rPr>
          <w:shd w:val="clear" w:color="auto" w:fill="D8F89E"/>
          <w:lang w:val="en-IE"/>
        </w:rPr>
        <w:t>Figure 6</w:t>
      </w:r>
      <w:r>
        <w:rPr>
          <w:lang w:val="en-IE"/>
        </w:rPr>
        <w:t>.</w:t>
      </w:r>
      <w:r w:rsidR="00536585">
        <w:rPr>
          <w:lang w:val="en-IE"/>
        </w:rPr>
        <w:t xml:space="preserve"> Neither columnar or tentacular TEAC showed any differences associated with sectioning or time. MDA concentration (</w:t>
      </w:r>
      <w:r w:rsidR="00536585" w:rsidRPr="00254FAF">
        <w:rPr>
          <w:shd w:val="clear" w:color="auto" w:fill="D8F89E"/>
          <w:lang w:val="en-IE"/>
        </w:rPr>
        <w:t>Figure 7</w:t>
      </w:r>
      <w:r w:rsidR="00536585">
        <w:rPr>
          <w:lang w:val="en-IE"/>
        </w:rPr>
        <w:t>) did not vary significantly in columnar samples, but tentacular MDA was found to be lower on sectioned individuals compared to control ones.</w:t>
      </w:r>
    </w:p>
    <w:p w:rsidR="000A4635" w:rsidRDefault="000A4635"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3.2. Non-specific immune parameters</w:t>
      </w:r>
    </w:p>
    <w:p w:rsidR="000A4635" w:rsidRDefault="000A4635" w:rsidP="00E41A7D">
      <w:pPr>
        <w:pStyle w:val="Standard"/>
        <w:spacing w:line="276" w:lineRule="auto"/>
        <w:jc w:val="both"/>
        <w:rPr>
          <w:lang w:val="en-IE"/>
        </w:rPr>
      </w:pPr>
    </w:p>
    <w:p w:rsidR="00CD0839" w:rsidRDefault="00CD0839" w:rsidP="00E41A7D">
      <w:pPr>
        <w:pStyle w:val="Standard"/>
        <w:spacing w:line="276" w:lineRule="auto"/>
        <w:jc w:val="both"/>
        <w:rPr>
          <w:lang w:val="en-IE"/>
        </w:rPr>
      </w:pPr>
      <w:r>
        <w:rPr>
          <w:lang w:val="en-IE"/>
        </w:rPr>
        <w:t xml:space="preserve">Neither acid phosphatase (AP, </w:t>
      </w:r>
      <w:r w:rsidRPr="0065700E">
        <w:rPr>
          <w:shd w:val="clear" w:color="auto" w:fill="D8F89E"/>
          <w:lang w:val="en-IE"/>
        </w:rPr>
        <w:t>Figure 8</w:t>
      </w:r>
      <w:r>
        <w:rPr>
          <w:lang w:val="en-IE"/>
        </w:rPr>
        <w:t>) nor alkaline phosphatase (</w:t>
      </w:r>
      <w:proofErr w:type="spellStart"/>
      <w:r>
        <w:rPr>
          <w:lang w:val="en-IE"/>
        </w:rPr>
        <w:t>AlP</w:t>
      </w:r>
      <w:proofErr w:type="spellEnd"/>
      <w:r w:rsidRPr="0065700E">
        <w:rPr>
          <w:shd w:val="clear" w:color="auto" w:fill="D8F89E"/>
          <w:lang w:val="en-IE"/>
        </w:rPr>
        <w:t>, Figure 9</w:t>
      </w:r>
      <w:r w:rsidR="0065700E">
        <w:rPr>
          <w:lang w:val="en-IE"/>
        </w:rPr>
        <w:t xml:space="preserve">) showed any significant effect or interaction. </w:t>
      </w:r>
      <w:proofErr w:type="spellStart"/>
      <w:r w:rsidR="0065700E">
        <w:rPr>
          <w:lang w:val="en-IE"/>
        </w:rPr>
        <w:t>MPx</w:t>
      </w:r>
      <w:proofErr w:type="spellEnd"/>
      <w:r w:rsidR="0065700E">
        <w:rPr>
          <w:lang w:val="en-IE"/>
        </w:rPr>
        <w:t xml:space="preserve"> activity showed significant interaction in columnar samples. At T0, columnar </w:t>
      </w:r>
      <w:proofErr w:type="spellStart"/>
      <w:r w:rsidR="0065700E">
        <w:rPr>
          <w:lang w:val="en-IE"/>
        </w:rPr>
        <w:t>MPx</w:t>
      </w:r>
      <w:proofErr w:type="spellEnd"/>
      <w:r w:rsidR="0065700E">
        <w:rPr>
          <w:lang w:val="en-IE"/>
        </w:rPr>
        <w:t xml:space="preserve"> activity was lower for sectioned individuals (</w:t>
      </w:r>
      <w:r w:rsidR="0065700E" w:rsidRPr="006C2148">
        <w:rPr>
          <w:shd w:val="clear" w:color="auto" w:fill="FCA6B8"/>
          <w:lang w:val="en-IE"/>
        </w:rPr>
        <w:t>p</w:t>
      </w:r>
      <w:r w:rsidR="00DC4582">
        <w:rPr>
          <w:shd w:val="clear" w:color="auto" w:fill="FCA6B8"/>
          <w:lang w:val="en-IE"/>
        </w:rPr>
        <w:t xml:space="preserve"> = 0.000895, p &lt; 0.001</w:t>
      </w:r>
      <w:r w:rsidR="0065700E">
        <w:rPr>
          <w:lang w:val="en-IE"/>
        </w:rPr>
        <w:t>), while there were no significant differences at T1 (</w:t>
      </w:r>
      <w:r w:rsidR="0065700E" w:rsidRPr="006C2148">
        <w:rPr>
          <w:shd w:val="clear" w:color="auto" w:fill="FCA6B8"/>
          <w:lang w:val="en-IE"/>
        </w:rPr>
        <w:t>p</w:t>
      </w:r>
      <w:r w:rsidR="00DC4582">
        <w:rPr>
          <w:shd w:val="clear" w:color="auto" w:fill="FCA6B8"/>
          <w:lang w:val="en-IE"/>
        </w:rPr>
        <w:t xml:space="preserve"> = 0.674</w:t>
      </w:r>
      <w:r w:rsidR="0065700E">
        <w:rPr>
          <w:lang w:val="en-IE"/>
        </w:rPr>
        <w:t>). The effect of sectioning and time on tentacular activity also resulted non-significant.</w:t>
      </w:r>
    </w:p>
    <w:p w:rsidR="000F506B" w:rsidRDefault="000F506B" w:rsidP="00E41A7D">
      <w:pPr>
        <w:pStyle w:val="Standard"/>
        <w:spacing w:line="276" w:lineRule="auto"/>
        <w:jc w:val="both"/>
        <w:rPr>
          <w:lang w:val="en-IE"/>
        </w:rPr>
      </w:pPr>
      <w:r>
        <w:rPr>
          <w:lang w:val="en-IE"/>
        </w:rPr>
        <w:t xml:space="preserve">Columnar lysozyme activity showed no significant </w:t>
      </w:r>
      <w:r w:rsidR="004B1EC6">
        <w:rPr>
          <w:lang w:val="en-IE"/>
        </w:rPr>
        <w:t>differences associated with the studied variables.</w:t>
      </w:r>
    </w:p>
    <w:p w:rsidR="0019707F" w:rsidRDefault="006B2408" w:rsidP="00E41A7D">
      <w:pPr>
        <w:pStyle w:val="Standard"/>
        <w:spacing w:line="276" w:lineRule="auto"/>
        <w:jc w:val="both"/>
        <w:rPr>
          <w:sz w:val="32"/>
          <w:szCs w:val="32"/>
          <w:lang w:val="en-IE"/>
        </w:rPr>
      </w:pPr>
      <w:r w:rsidRPr="00E41A7D">
        <w:rPr>
          <w:sz w:val="32"/>
          <w:szCs w:val="32"/>
          <w:lang w:val="en-IE"/>
        </w:rPr>
        <w:t>4. Discussion</w:t>
      </w:r>
    </w:p>
    <w:p w:rsidR="00E41A7D" w:rsidRPr="00E41A7D" w:rsidRDefault="00E41A7D" w:rsidP="00E41A7D">
      <w:pPr>
        <w:pStyle w:val="Standard"/>
        <w:spacing w:line="276" w:lineRule="auto"/>
        <w:jc w:val="both"/>
        <w:rPr>
          <w:lang w:val="en-IE"/>
        </w:rPr>
      </w:pPr>
    </w:p>
    <w:p w:rsidR="006B2408" w:rsidRDefault="006B2408" w:rsidP="00E41A7D">
      <w:pPr>
        <w:pStyle w:val="Standard"/>
        <w:spacing w:line="276" w:lineRule="auto"/>
        <w:jc w:val="both"/>
        <w:rPr>
          <w:sz w:val="32"/>
          <w:szCs w:val="32"/>
          <w:lang w:val="en-IE"/>
        </w:rPr>
      </w:pPr>
      <w:r w:rsidRPr="00E41A7D">
        <w:rPr>
          <w:sz w:val="32"/>
          <w:szCs w:val="32"/>
          <w:lang w:val="en-IE"/>
        </w:rPr>
        <w:t xml:space="preserve">5. </w:t>
      </w:r>
      <w:proofErr w:type="spellStart"/>
      <w:r w:rsidRPr="00E41A7D">
        <w:rPr>
          <w:sz w:val="32"/>
          <w:szCs w:val="32"/>
          <w:lang w:val="en-IE"/>
        </w:rPr>
        <w:t>Conclussions</w:t>
      </w:r>
      <w:proofErr w:type="spellEnd"/>
    </w:p>
    <w:p w:rsidR="00E41A7D" w:rsidRPr="00E41A7D" w:rsidRDefault="00E41A7D" w:rsidP="00E41A7D">
      <w:pPr>
        <w:pStyle w:val="Standard"/>
        <w:spacing w:line="276" w:lineRule="auto"/>
        <w:jc w:val="both"/>
        <w:rPr>
          <w:lang w:val="en-IE"/>
        </w:rPr>
      </w:pPr>
    </w:p>
    <w:p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t>6. References</w:t>
      </w:r>
    </w:p>
    <w:p w:rsidR="00E41A7D" w:rsidRPr="00E41A7D" w:rsidRDefault="00E41A7D" w:rsidP="00E41A7D">
      <w:pPr>
        <w:pStyle w:val="Standard"/>
        <w:shd w:val="clear" w:color="auto" w:fill="FFF2CC" w:themeFill="accent4" w:themeFillTint="33"/>
        <w:spacing w:line="276" w:lineRule="auto"/>
        <w:jc w:val="both"/>
        <w:rPr>
          <w:sz w:val="32"/>
          <w:szCs w:val="32"/>
          <w:lang w:val="en-IE"/>
        </w:rPr>
      </w:pPr>
    </w:p>
    <w:p w:rsidR="001E0AC3" w:rsidRPr="001E0AC3" w:rsidRDefault="001E0AC3" w:rsidP="00E41A7D">
      <w:pPr>
        <w:autoSpaceDE w:val="0"/>
        <w:spacing w:line="276" w:lineRule="auto"/>
        <w:ind w:hanging="480"/>
        <w:divId w:val="754858639"/>
        <w:rPr>
          <w:rFonts w:eastAsia="Times New Roman"/>
          <w:kern w:val="0"/>
          <w:lang w:val="en-IE"/>
        </w:rPr>
      </w:pPr>
      <w:r w:rsidRPr="00104D14">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rsidR="001E0AC3" w:rsidRPr="001E0AC3" w:rsidRDefault="001E0AC3" w:rsidP="00E41A7D">
      <w:pPr>
        <w:autoSpaceDE w:val="0"/>
        <w:spacing w:line="276" w:lineRule="auto"/>
        <w:ind w:hanging="480"/>
        <w:divId w:val="535581824"/>
        <w:rPr>
          <w:rFonts w:eastAsia="Times New Roman"/>
          <w:lang w:val="en-IE"/>
        </w:rPr>
      </w:pPr>
      <w:r>
        <w:rPr>
          <w:rFonts w:eastAsia="Times New Roman"/>
        </w:rPr>
        <w:lastRenderedPageBreak/>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ectPr w:rsidR="00420BC5" w:rsidRPr="00A147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26FE" w:rsidRDefault="00E526FE">
      <w:r>
        <w:separator/>
      </w:r>
    </w:p>
  </w:endnote>
  <w:endnote w:type="continuationSeparator" w:id="0">
    <w:p w:rsidR="00E526FE" w:rsidRDefault="00E5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26FE" w:rsidRDefault="00E526FE">
      <w:r>
        <w:rPr>
          <w:color w:val="000000"/>
        </w:rPr>
        <w:separator/>
      </w:r>
    </w:p>
  </w:footnote>
  <w:footnote w:type="continuationSeparator" w:id="0">
    <w:p w:rsidR="00E526FE" w:rsidRDefault="00E52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A4635"/>
    <w:rsid w:val="000D2593"/>
    <w:rsid w:val="000F506B"/>
    <w:rsid w:val="00104D14"/>
    <w:rsid w:val="001145D1"/>
    <w:rsid w:val="00193385"/>
    <w:rsid w:val="0019707F"/>
    <w:rsid w:val="001E0AC3"/>
    <w:rsid w:val="002035AD"/>
    <w:rsid w:val="00254FAF"/>
    <w:rsid w:val="00274E61"/>
    <w:rsid w:val="00297AF2"/>
    <w:rsid w:val="00376AA4"/>
    <w:rsid w:val="00420BC5"/>
    <w:rsid w:val="0042191F"/>
    <w:rsid w:val="0042443C"/>
    <w:rsid w:val="004245DA"/>
    <w:rsid w:val="00462DB1"/>
    <w:rsid w:val="00485FC0"/>
    <w:rsid w:val="004B1EC6"/>
    <w:rsid w:val="004C627F"/>
    <w:rsid w:val="00536585"/>
    <w:rsid w:val="00545317"/>
    <w:rsid w:val="00552239"/>
    <w:rsid w:val="005A0ED6"/>
    <w:rsid w:val="005C14AA"/>
    <w:rsid w:val="005C35F9"/>
    <w:rsid w:val="005E7294"/>
    <w:rsid w:val="00603852"/>
    <w:rsid w:val="0065700E"/>
    <w:rsid w:val="0066315D"/>
    <w:rsid w:val="0067680A"/>
    <w:rsid w:val="00681849"/>
    <w:rsid w:val="006B2408"/>
    <w:rsid w:val="006C2148"/>
    <w:rsid w:val="006E2A3D"/>
    <w:rsid w:val="007007B3"/>
    <w:rsid w:val="00794107"/>
    <w:rsid w:val="008010B9"/>
    <w:rsid w:val="00896764"/>
    <w:rsid w:val="00926543"/>
    <w:rsid w:val="009A23F4"/>
    <w:rsid w:val="009D707A"/>
    <w:rsid w:val="00A06660"/>
    <w:rsid w:val="00A14750"/>
    <w:rsid w:val="00A26418"/>
    <w:rsid w:val="00A415C2"/>
    <w:rsid w:val="00A8691C"/>
    <w:rsid w:val="00AB2853"/>
    <w:rsid w:val="00B66D31"/>
    <w:rsid w:val="00BC7F2F"/>
    <w:rsid w:val="00BE2D49"/>
    <w:rsid w:val="00C123AE"/>
    <w:rsid w:val="00C34D82"/>
    <w:rsid w:val="00C455E9"/>
    <w:rsid w:val="00C96FD2"/>
    <w:rsid w:val="00CB7EAC"/>
    <w:rsid w:val="00CC72CC"/>
    <w:rsid w:val="00CD0839"/>
    <w:rsid w:val="00D034F4"/>
    <w:rsid w:val="00D83EF0"/>
    <w:rsid w:val="00D8422E"/>
    <w:rsid w:val="00D91E57"/>
    <w:rsid w:val="00D93923"/>
    <w:rsid w:val="00D95AA1"/>
    <w:rsid w:val="00DC4582"/>
    <w:rsid w:val="00DF3FEB"/>
    <w:rsid w:val="00E41A7D"/>
    <w:rsid w:val="00E526FE"/>
    <w:rsid w:val="00EA3A1A"/>
    <w:rsid w:val="00F168DB"/>
    <w:rsid w:val="00F27634"/>
    <w:rsid w:val="00F502FD"/>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8C7"/>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3</cp:revision>
  <dcterms:created xsi:type="dcterms:W3CDTF">2025-03-17T12:16:00Z</dcterms:created>
  <dcterms:modified xsi:type="dcterms:W3CDTF">2025-03-17T12:17:00Z</dcterms:modified>
</cp:coreProperties>
</file>