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Y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EJEMPLARES: Oct-2019 a 30 jun-2020, 300 ejemplares</w:t>
      </w:r>
    </w:p>
    <w:p w:rsidR="00501BD7"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recolectó un centenar de ejemplares de </w:t>
      </w:r>
      <w:r>
        <w:rPr>
          <w:rFonts w:ascii="Times New Roman" w:eastAsia="Times New Roman" w:hAnsi="Times New Roman" w:cs="Times New Roman"/>
          <w:i/>
          <w:sz w:val="24"/>
          <w:szCs w:val="24"/>
        </w:rPr>
        <w:t>Anemonia sulcata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var</w:t>
      </w:r>
      <w:proofErr w:type="spellEnd"/>
      <w:r>
        <w:rPr>
          <w:rFonts w:ascii="Times New Roman" w:eastAsia="Times New Roman" w:hAnsi="Times New Roman" w:cs="Times New Roman"/>
          <w:i/>
          <w:sz w:val="24"/>
          <w:szCs w:val="24"/>
        </w:rPr>
        <w:t>. viridis</w:t>
      </w:r>
      <w:r>
        <w:rPr>
          <w:rFonts w:ascii="Times New Roman" w:eastAsia="Times New Roman" w:hAnsi="Times New Roman" w:cs="Times New Roman"/>
          <w:sz w:val="24"/>
          <w:szCs w:val="24"/>
        </w:rPr>
        <w:t xml:space="preserve"> de cada una de las tres áreas de estudio seleccionadas: estación 1, Calahonda (36º42’11.</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 xml:space="preserve">, 03º24’45.5”W); estación 2, Salobreña (36º44’12.2”N, 03º35’35.1”W) y estación 3, Almuñécar (36º44’41.8”N, 03º39’41.9”W). Las tres líneas poblacionales fueron recolectadas entre el 29 de octubre y 3 de diciembre de 2020. Los individuos fueron transportados en contenedores con agua de mar hasta las instalaciones de </w:t>
      </w:r>
      <w:proofErr w:type="spellStart"/>
      <w:r>
        <w:rPr>
          <w:rFonts w:ascii="Times New Roman" w:eastAsia="Times New Roman" w:hAnsi="Times New Roman" w:cs="Times New Roman"/>
          <w:sz w:val="24"/>
          <w:szCs w:val="24"/>
        </w:rPr>
        <w:t>iMare</w:t>
      </w:r>
      <w:proofErr w:type="spellEnd"/>
      <w:r>
        <w:rPr>
          <w:rFonts w:ascii="Times New Roman" w:eastAsia="Times New Roman" w:hAnsi="Times New Roman" w:cs="Times New Roman"/>
          <w:sz w:val="24"/>
          <w:szCs w:val="24"/>
        </w:rPr>
        <w:t xml:space="preserve"> Natural-</w:t>
      </w:r>
      <w:proofErr w:type="spellStart"/>
      <w:r>
        <w:rPr>
          <w:rFonts w:ascii="Times New Roman" w:eastAsia="Times New Roman" w:hAnsi="Times New Roman" w:cs="Times New Roman"/>
          <w:sz w:val="24"/>
          <w:szCs w:val="24"/>
        </w:rPr>
        <w:t>Andalmar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Biotech</w:t>
      </w:r>
      <w:proofErr w:type="spellEnd"/>
      <w:r>
        <w:rPr>
          <w:rFonts w:ascii="Times New Roman" w:eastAsia="Times New Roman" w:hAnsi="Times New Roman" w:cs="Times New Roman"/>
          <w:sz w:val="24"/>
          <w:szCs w:val="24"/>
        </w:rPr>
        <w:t xml:space="preserve"> S.L. donde se llevó a cabo el ensayo experimental hasta finales de junio de 2021.</w:t>
      </w:r>
    </w:p>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CARACTERISTICAS DEL TANQUE Y FILTRACIÓN</w:t>
      </w:r>
    </w:p>
    <w:p w:rsidR="00501BD7" w:rsidRDefault="00000000">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Tanque cúbico de hormigón, auto vaciable con desagüe central </w:t>
      </w:r>
      <w:r w:rsidR="00497C6F">
        <w:rPr>
          <w:rFonts w:ascii="Times New Roman" w:eastAsia="Times New Roman" w:hAnsi="Times New Roman" w:cs="Times New Roman"/>
          <w:sz w:val="24"/>
          <w:szCs w:val="24"/>
        </w:rPr>
        <w:t>e impermeabilizado</w:t>
      </w:r>
      <w:r>
        <w:rPr>
          <w:rFonts w:ascii="Times New Roman" w:eastAsia="Times New Roman" w:hAnsi="Times New Roman" w:cs="Times New Roman"/>
          <w:sz w:val="24"/>
          <w:szCs w:val="24"/>
        </w:rPr>
        <w:t xml:space="preserve"> con pintura de </w:t>
      </w:r>
      <w:r w:rsidR="00497C6F">
        <w:rPr>
          <w:rFonts w:ascii="Times New Roman" w:eastAsia="Times New Roman" w:hAnsi="Times New Roman" w:cs="Times New Roman"/>
          <w:sz w:val="24"/>
          <w:szCs w:val="24"/>
        </w:rPr>
        <w:t>epoxi, con</w:t>
      </w:r>
      <w:r>
        <w:rPr>
          <w:rFonts w:ascii="Times New Roman" w:eastAsia="Times New Roman" w:hAnsi="Times New Roman" w:cs="Times New Roman"/>
          <w:sz w:val="24"/>
          <w:szCs w:val="24"/>
        </w:rPr>
        <w:t xml:space="preserve"> un volumen de 16m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Ubicado en una zona exterior bajo estructura techada con malla blanca de nylon de 0.5 mm, con luz natural ambiental. El sistema de recirculación consistió en filtración mecánica mediante filtro de arena de sílex </w:t>
      </w:r>
      <w:proofErr w:type="spellStart"/>
      <w:r>
        <w:rPr>
          <w:rFonts w:ascii="Times New Roman" w:eastAsia="Times New Roman" w:hAnsi="Times New Roman" w:cs="Times New Roman"/>
          <w:sz w:val="24"/>
          <w:szCs w:val="24"/>
        </w:rPr>
        <w:t>Astralpool</w:t>
      </w:r>
      <w:proofErr w:type="spellEnd"/>
      <w:r>
        <w:rPr>
          <w:rFonts w:ascii="Times New Roman" w:eastAsia="Times New Roman" w:hAnsi="Times New Roman" w:cs="Times New Roman"/>
          <w:sz w:val="24"/>
          <w:szCs w:val="24"/>
        </w:rPr>
        <w:t xml:space="preserve"> 7m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/h., impulsado por bomba </w:t>
      </w:r>
      <w:proofErr w:type="spellStart"/>
      <w:r>
        <w:rPr>
          <w:rFonts w:ascii="Times New Roman" w:eastAsia="Times New Roman" w:hAnsi="Times New Roman" w:cs="Times New Roman"/>
          <w:sz w:val="24"/>
          <w:szCs w:val="24"/>
        </w:rPr>
        <w:t>Espa</w:t>
      </w:r>
      <w:proofErr w:type="spellEnd"/>
      <w:r>
        <w:rPr>
          <w:rFonts w:ascii="Times New Roman" w:eastAsia="Times New Roman" w:hAnsi="Times New Roman" w:cs="Times New Roman"/>
          <w:sz w:val="24"/>
          <w:szCs w:val="24"/>
        </w:rPr>
        <w:t xml:space="preserve"> Iris 500 0.45kw; un filtro biológico en un tanque de fibra de vidrio de 300 </w:t>
      </w:r>
      <w:proofErr w:type="spellStart"/>
      <w:r>
        <w:rPr>
          <w:rFonts w:ascii="Times New Roman" w:eastAsia="Times New Roman" w:hAnsi="Times New Roman" w:cs="Times New Roman"/>
          <w:sz w:val="24"/>
          <w:szCs w:val="24"/>
        </w:rPr>
        <w:t>ls</w:t>
      </w:r>
      <w:proofErr w:type="spellEnd"/>
      <w:r>
        <w:rPr>
          <w:rFonts w:ascii="Times New Roman" w:eastAsia="Times New Roman" w:hAnsi="Times New Roman" w:cs="Times New Roman"/>
          <w:sz w:val="24"/>
          <w:szCs w:val="24"/>
        </w:rPr>
        <w:t xml:space="preserve"> provisto </w:t>
      </w:r>
      <w:r w:rsidR="00497C6F">
        <w:rPr>
          <w:rFonts w:ascii="Times New Roman" w:eastAsia="Times New Roman" w:hAnsi="Times New Roman" w:cs="Times New Roman"/>
          <w:sz w:val="24"/>
          <w:szCs w:val="24"/>
        </w:rPr>
        <w:t xml:space="preserve">de </w:t>
      </w:r>
      <w:proofErr w:type="spellStart"/>
      <w:r w:rsidR="00497C6F">
        <w:rPr>
          <w:rFonts w:ascii="Times New Roman" w:eastAsia="Times New Roman" w:hAnsi="Times New Roman" w:cs="Times New Roman"/>
          <w:sz w:val="24"/>
          <w:szCs w:val="24"/>
        </w:rPr>
        <w:t>biobolas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bactoballs</w:t>
      </w:r>
      <w:proofErr w:type="spellEnd"/>
      <w:r>
        <w:rPr>
          <w:rFonts w:ascii="Times New Roman" w:eastAsia="Times New Roman" w:hAnsi="Times New Roman" w:cs="Times New Roman"/>
          <w:sz w:val="24"/>
          <w:szCs w:val="24"/>
        </w:rPr>
        <w:t xml:space="preserve"> de Aqua </w:t>
      </w:r>
      <w:proofErr w:type="spellStart"/>
      <w:r>
        <w:rPr>
          <w:rFonts w:ascii="Times New Roman" w:eastAsia="Times New Roman" w:hAnsi="Times New Roman" w:cs="Times New Roman"/>
          <w:sz w:val="24"/>
          <w:szCs w:val="24"/>
        </w:rPr>
        <w:t>Medic</w:t>
      </w:r>
      <w:proofErr w:type="spellEnd"/>
      <w:r>
        <w:rPr>
          <w:rFonts w:ascii="Times New Roman" w:eastAsia="Times New Roman" w:hAnsi="Times New Roman" w:cs="Times New Roman"/>
          <w:sz w:val="24"/>
          <w:szCs w:val="24"/>
        </w:rPr>
        <w:t xml:space="preserve"> 3.4cm y </w:t>
      </w:r>
      <w:proofErr w:type="spellStart"/>
      <w:r>
        <w:rPr>
          <w:rFonts w:ascii="Times New Roman" w:eastAsia="Times New Roman" w:hAnsi="Times New Roman" w:cs="Times New Roman"/>
          <w:sz w:val="24"/>
          <w:szCs w:val="24"/>
        </w:rPr>
        <w:t>skimmer</w:t>
      </w:r>
      <w:proofErr w:type="spellEnd"/>
      <w:r>
        <w:rPr>
          <w:rFonts w:ascii="Times New Roman" w:eastAsia="Times New Roman" w:hAnsi="Times New Roman" w:cs="Times New Roman"/>
          <w:sz w:val="24"/>
          <w:szCs w:val="24"/>
        </w:rPr>
        <w:t xml:space="preserve"> de proteínas </w:t>
      </w:r>
      <w:proofErr w:type="spellStart"/>
      <w:r>
        <w:rPr>
          <w:rFonts w:ascii="Times New Roman" w:eastAsia="Times New Roman" w:hAnsi="Times New Roman" w:cs="Times New Roman"/>
          <w:sz w:val="24"/>
          <w:szCs w:val="24"/>
        </w:rPr>
        <w:t>turboflotor</w:t>
      </w:r>
      <w:proofErr w:type="spellEnd"/>
      <w:r>
        <w:rPr>
          <w:rFonts w:ascii="Times New Roman" w:eastAsia="Times New Roman" w:hAnsi="Times New Roman" w:cs="Times New Roman"/>
          <w:sz w:val="24"/>
          <w:szCs w:val="24"/>
        </w:rPr>
        <w:t xml:space="preserve"> 5000 Aqua </w:t>
      </w:r>
      <w:proofErr w:type="spellStart"/>
      <w:r>
        <w:rPr>
          <w:rFonts w:ascii="Times New Roman" w:eastAsia="Times New Roman" w:hAnsi="Times New Roman" w:cs="Times New Roman"/>
          <w:sz w:val="24"/>
          <w:szCs w:val="24"/>
        </w:rPr>
        <w:t>Medic</w:t>
      </w:r>
      <w:proofErr w:type="spellEnd"/>
      <w:r>
        <w:rPr>
          <w:rFonts w:ascii="Times New Roman" w:eastAsia="Times New Roman" w:hAnsi="Times New Roman" w:cs="Times New Roman"/>
          <w:sz w:val="24"/>
          <w:szCs w:val="24"/>
        </w:rPr>
        <w:t xml:space="preserve"> con bomba </w:t>
      </w:r>
      <w:proofErr w:type="spellStart"/>
      <w:r>
        <w:rPr>
          <w:rFonts w:ascii="Times New Roman" w:eastAsia="Times New Roman" w:hAnsi="Times New Roman" w:cs="Times New Roman"/>
          <w:sz w:val="24"/>
          <w:szCs w:val="24"/>
        </w:rPr>
        <w:t>venturi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w:t>
      </w:r>
      <w:proofErr w:type="spellEnd"/>
      <w:r>
        <w:rPr>
          <w:rFonts w:ascii="Times New Roman" w:eastAsia="Times New Roman" w:hAnsi="Times New Roman" w:cs="Times New Roman"/>
          <w:sz w:val="24"/>
          <w:szCs w:val="24"/>
        </w:rPr>
        <w:t xml:space="preserve"> Runner 3500 de Aqua </w:t>
      </w:r>
      <w:proofErr w:type="spellStart"/>
      <w:r>
        <w:rPr>
          <w:rFonts w:ascii="Times New Roman" w:eastAsia="Times New Roman" w:hAnsi="Times New Roman" w:cs="Times New Roman"/>
          <w:sz w:val="24"/>
          <w:szCs w:val="24"/>
        </w:rPr>
        <w:t>Medic</w:t>
      </w:r>
      <w:proofErr w:type="spellEnd"/>
      <w:r>
        <w:rPr>
          <w:rFonts w:ascii="Times New Roman" w:eastAsia="Times New Roman" w:hAnsi="Times New Roman" w:cs="Times New Roman"/>
          <w:sz w:val="24"/>
          <w:szCs w:val="24"/>
        </w:rPr>
        <w:t>.</w:t>
      </w:r>
    </w:p>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PARÁMETROS FISICO QUÍMICOS</w:t>
      </w:r>
    </w:p>
    <w:tbl>
      <w:tblPr>
        <w:tblStyle w:val="Sombreadomedio2"/>
        <w:tblW w:w="8504" w:type="dxa"/>
        <w:tblLayout w:type="fixed"/>
        <w:tblLook w:val="0600" w:firstRow="0" w:lastRow="0" w:firstColumn="0" w:lastColumn="0" w:noHBand="1" w:noVBand="1"/>
      </w:tblPr>
      <w:tblGrid>
        <w:gridCol w:w="2127"/>
        <w:gridCol w:w="2126"/>
        <w:gridCol w:w="2126"/>
        <w:gridCol w:w="2125"/>
      </w:tblGrid>
      <w:tr w:rsidR="00501BD7" w:rsidTr="00501BD7">
        <w:tc>
          <w:tcPr>
            <w:tcW w:w="2126" w:type="dxa"/>
            <w:tcBorders>
              <w:bottom w:val="nil"/>
            </w:tcBorders>
          </w:tcPr>
          <w:p w:rsidR="00501BD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Parámetro</w:t>
            </w:r>
          </w:p>
        </w:tc>
        <w:tc>
          <w:tcPr>
            <w:tcW w:w="2126" w:type="dxa"/>
            <w:tcBorders>
              <w:bottom w:val="nil"/>
            </w:tcBorders>
          </w:tcPr>
          <w:p w:rsidR="00501BD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Promedio</w:t>
            </w:r>
          </w:p>
        </w:tc>
        <w:tc>
          <w:tcPr>
            <w:tcW w:w="2126" w:type="dxa"/>
            <w:tcBorders>
              <w:bottom w:val="nil"/>
            </w:tcBorders>
          </w:tcPr>
          <w:p w:rsidR="00501BD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Mínimo</w:t>
            </w:r>
          </w:p>
        </w:tc>
        <w:tc>
          <w:tcPr>
            <w:tcW w:w="2125" w:type="dxa"/>
            <w:tcBorders>
              <w:bottom w:val="nil"/>
            </w:tcBorders>
          </w:tcPr>
          <w:p w:rsidR="00501BD7"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Máximo</w:t>
            </w:r>
          </w:p>
        </w:tc>
      </w:tr>
      <w:tr w:rsidR="00501BD7" w:rsidTr="00501BD7">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Temperatura (</w:t>
            </w:r>
            <w:proofErr w:type="spellStart"/>
            <w:r>
              <w:rPr>
                <w:rFonts w:ascii="Times New Roman" w:eastAsia="Times New Roman" w:hAnsi="Times New Roman" w:cs="Times New Roman"/>
                <w:sz w:val="24"/>
                <w:szCs w:val="24"/>
              </w:rPr>
              <w:t>ºC</w:t>
            </w:r>
            <w:proofErr w:type="spellEnd"/>
            <w:r>
              <w:rPr>
                <w:rFonts w:ascii="Times New Roman" w:eastAsia="Times New Roman" w:hAnsi="Times New Roman" w:cs="Times New Roman"/>
                <w:sz w:val="24"/>
                <w:szCs w:val="24"/>
              </w:rPr>
              <w:t>)</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125"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501BD7" w:rsidTr="00501BD7">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Salinidad ‰</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34.8</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125"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501BD7" w:rsidTr="00501BD7">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2125"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r>
      <w:tr w:rsidR="00501BD7" w:rsidTr="00501BD7">
        <w:tc>
          <w:tcPr>
            <w:tcW w:w="2126" w:type="dxa"/>
            <w:tcBorders>
              <w:top w:val="nil"/>
              <w:bottom w:val="nil"/>
            </w:tcBorders>
          </w:tcPr>
          <w:p w:rsidR="00501BD7"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 xml:space="preserve">4 </w:t>
            </w:r>
            <w:r>
              <w:rPr>
                <w:rFonts w:ascii="Times New Roman" w:eastAsia="Times New Roman" w:hAnsi="Times New Roman" w:cs="Times New Roman"/>
                <w:sz w:val="24"/>
                <w:szCs w:val="24"/>
              </w:rPr>
              <w:t>(mg/l)</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125"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01BD7" w:rsidTr="00501BD7">
        <w:tc>
          <w:tcPr>
            <w:tcW w:w="2126" w:type="dxa"/>
            <w:tcBorders>
              <w:top w:val="nil"/>
              <w:bottom w:val="nil"/>
            </w:tcBorders>
          </w:tcPr>
          <w:p w:rsidR="00501BD7" w:rsidRDefault="00000000">
            <w:pPr>
              <w:spacing w:after="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NO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(mg/l)</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125"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501BD7" w:rsidTr="00501BD7">
        <w:tc>
          <w:tcPr>
            <w:tcW w:w="2126" w:type="dxa"/>
            <w:tcBorders>
              <w:top w:val="nil"/>
              <w:bottom w:val="nil"/>
            </w:tcBorders>
          </w:tcPr>
          <w:p w:rsidR="00501BD7" w:rsidRDefault="00000000">
            <w:pPr>
              <w:spacing w:after="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(mg/l)</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125"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501BD7" w:rsidTr="00501BD7">
        <w:tc>
          <w:tcPr>
            <w:tcW w:w="2126" w:type="dxa"/>
            <w:tcBorders>
              <w:top w:val="nil"/>
              <w:bottom w:val="nil"/>
            </w:tcBorders>
          </w:tcPr>
          <w:p w:rsidR="00501BD7" w:rsidRDefault="00000000">
            <w:pPr>
              <w:spacing w:after="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PO</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(mg/l)</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126"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125" w:type="dxa"/>
            <w:tcBorders>
              <w:top w:val="nil"/>
              <w:bottom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01BD7" w:rsidTr="00501BD7">
        <w:tc>
          <w:tcPr>
            <w:tcW w:w="2126" w:type="dxa"/>
            <w:tcBorders>
              <w:top w:val="nil"/>
            </w:tcBorders>
          </w:tcPr>
          <w:p w:rsidR="00501BD7"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dKh</w:t>
            </w:r>
            <w:proofErr w:type="spellEnd"/>
            <w:r>
              <w:rPr>
                <w:rFonts w:ascii="Times New Roman" w:eastAsia="Times New Roman" w:hAnsi="Times New Roman" w:cs="Times New Roman"/>
                <w:sz w:val="24"/>
                <w:szCs w:val="24"/>
              </w:rPr>
              <w:t>(º)dureza carbonatos</w:t>
            </w:r>
          </w:p>
        </w:tc>
        <w:tc>
          <w:tcPr>
            <w:tcW w:w="2126" w:type="dxa"/>
            <w:tcBorders>
              <w:top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2126" w:type="dxa"/>
            <w:tcBorders>
              <w:top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125" w:type="dxa"/>
            <w:tcBorders>
              <w:top w:val="nil"/>
            </w:tcBorders>
          </w:tcPr>
          <w:p w:rsidR="00501BD7"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501BD7" w:rsidRDefault="00501BD7">
      <w:pPr>
        <w:jc w:val="both"/>
        <w:rPr>
          <w:rFonts w:ascii="Times New Roman" w:hAnsi="Times New Roman" w:cs="Times New Roman"/>
          <w:sz w:val="24"/>
          <w:szCs w:val="24"/>
        </w:rPr>
      </w:pPr>
    </w:p>
    <w:p w:rsidR="00501BD7" w:rsidRDefault="00000000">
      <w:pPr>
        <w:jc w:val="both"/>
        <w:rPr>
          <w:rFonts w:ascii="Times New Roman" w:hAnsi="Times New Roman" w:cs="Times New Roman"/>
          <w:sz w:val="24"/>
          <w:szCs w:val="24"/>
        </w:rPr>
      </w:pPr>
      <w:r>
        <w:rPr>
          <w:rFonts w:ascii="Times New Roman" w:hAnsi="Times New Roman" w:cs="Times New Roman"/>
          <w:sz w:val="24"/>
          <w:szCs w:val="24"/>
        </w:rPr>
        <w:t>ESTABULACIÓN</w:t>
      </w:r>
    </w:p>
    <w:p w:rsidR="00501BD7" w:rsidRDefault="00000000">
      <w:pPr>
        <w:jc w:val="both"/>
        <w:rPr>
          <w:rFonts w:ascii="Times New Roman" w:eastAsia="Times New Roman" w:hAnsi="Times New Roman" w:cs="Times New Roman"/>
          <w:sz w:val="24"/>
          <w:szCs w:val="24"/>
        </w:rPr>
      </w:pPr>
      <w:r>
        <w:rPr>
          <w:rFonts w:ascii="Times New Roman" w:hAnsi="Times New Roman" w:cs="Times New Roman"/>
          <w:sz w:val="24"/>
          <w:szCs w:val="24"/>
        </w:rPr>
        <w:t xml:space="preserve">Cada centenar de anémonas de cada estación de muestreo se estabuló en un tren de 5 cestillos de plástico de </w:t>
      </w:r>
      <w:r>
        <w:rPr>
          <w:rFonts w:ascii="Times New Roman" w:eastAsia="Times New Roman" w:hAnsi="Times New Roman" w:cs="Times New Roman"/>
          <w:sz w:val="24"/>
          <w:szCs w:val="24"/>
        </w:rPr>
        <w:t>dimensiones: 35cm x 27 cm x 12.5 cm cada uno, a una densidad de 20 individuos por cestillo.</w:t>
      </w:r>
    </w:p>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DISPOSICIÓN DE CLONES INDUCIDOS</w:t>
      </w:r>
    </w:p>
    <w:p w:rsidR="00501BD7" w:rsidRDefault="00000000">
      <w:pPr>
        <w:ind w:firstLine="7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Tras la división inducida, los clones se estabularon en discos de fijación circulares fabricadas con mortero y arena </w:t>
      </w:r>
      <w:r w:rsidR="00830154">
        <w:rPr>
          <w:rFonts w:ascii="Times New Roman" w:eastAsia="Times New Roman" w:hAnsi="Times New Roman" w:cs="Times New Roman"/>
          <w:sz w:val="24"/>
          <w:szCs w:val="24"/>
        </w:rPr>
        <w:t>calcárea, que</w:t>
      </w:r>
      <w:r>
        <w:rPr>
          <w:rFonts w:ascii="Times New Roman" w:eastAsia="Times New Roman" w:hAnsi="Times New Roman" w:cs="Times New Roman"/>
          <w:sz w:val="24"/>
          <w:szCs w:val="24"/>
        </w:rPr>
        <w:t xml:space="preserve"> sirvieron de soporte no solo para la recuperación, cicatrización y crecimiento, sino también para la posterior reintroducción en el medio natural. Los discos calcáreos son </w:t>
      </w:r>
      <w:r w:rsidR="00D203C9">
        <w:rPr>
          <w:rFonts w:ascii="Times New Roman" w:eastAsia="Times New Roman" w:hAnsi="Times New Roman" w:cs="Times New Roman"/>
          <w:sz w:val="24"/>
          <w:szCs w:val="24"/>
        </w:rPr>
        <w:t>totalmente inocuos</w:t>
      </w:r>
      <w:r>
        <w:rPr>
          <w:rFonts w:ascii="Times New Roman" w:eastAsia="Times New Roman" w:hAnsi="Times New Roman" w:cs="Times New Roman"/>
          <w:sz w:val="24"/>
          <w:szCs w:val="24"/>
        </w:rPr>
        <w:t xml:space="preserve">, no </w:t>
      </w:r>
      <w:r>
        <w:rPr>
          <w:rFonts w:ascii="Times New Roman" w:eastAsia="Times New Roman" w:hAnsi="Times New Roman" w:cs="Times New Roman"/>
          <w:sz w:val="24"/>
          <w:szCs w:val="24"/>
        </w:rPr>
        <w:lastRenderedPageBreak/>
        <w:t xml:space="preserve">contienen material plástico ni productos químicos que pudieran alterar el fondo marino, sino que </w:t>
      </w:r>
      <w:r w:rsidR="00D203C9">
        <w:rPr>
          <w:rFonts w:ascii="Times New Roman" w:eastAsia="Times New Roman" w:hAnsi="Times New Roman" w:cs="Times New Roman"/>
          <w:sz w:val="24"/>
          <w:szCs w:val="24"/>
        </w:rPr>
        <w:t>se favorece</w:t>
      </w:r>
      <w:r>
        <w:rPr>
          <w:rFonts w:ascii="Times New Roman" w:eastAsia="Times New Roman" w:hAnsi="Times New Roman" w:cs="Times New Roman"/>
          <w:sz w:val="24"/>
          <w:szCs w:val="24"/>
        </w:rPr>
        <w:t xml:space="preserve"> la colonización de </w:t>
      </w:r>
      <w:proofErr w:type="spellStart"/>
      <w:r>
        <w:rPr>
          <w:rFonts w:ascii="Times New Roman" w:eastAsia="Times New Roman" w:hAnsi="Times New Roman" w:cs="Times New Roman"/>
          <w:sz w:val="24"/>
          <w:szCs w:val="24"/>
        </w:rPr>
        <w:t>fouling</w:t>
      </w:r>
      <w:proofErr w:type="spellEnd"/>
      <w:r>
        <w:rPr>
          <w:rFonts w:ascii="Times New Roman" w:eastAsia="Times New Roman" w:hAnsi="Times New Roman" w:cs="Times New Roman"/>
          <w:sz w:val="24"/>
          <w:szCs w:val="24"/>
        </w:rPr>
        <w:t>. El uso de este tipo de discos está ampliamente extendido en el sector de la acuariofilia ornamental y en las granjas de corales para la propagación de esquejes.</w:t>
      </w:r>
    </w:p>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Los clones de división </w:t>
      </w:r>
      <w:r w:rsidR="00830154">
        <w:rPr>
          <w:rFonts w:ascii="Times New Roman" w:eastAsia="Times New Roman" w:hAnsi="Times New Roman" w:cs="Times New Roman"/>
          <w:sz w:val="24"/>
          <w:szCs w:val="24"/>
        </w:rPr>
        <w:t>asexual de</w:t>
      </w:r>
      <w:r>
        <w:rPr>
          <w:rFonts w:ascii="Times New Roman" w:eastAsia="Times New Roman" w:hAnsi="Times New Roman" w:cs="Times New Roman"/>
          <w:sz w:val="24"/>
          <w:szCs w:val="24"/>
        </w:rPr>
        <w:t xml:space="preserve"> las tres líneas poblacionales continuaron en lotes independientes e identificados sobre sus discos calcáreos y en otros cestillos flotantes distintos de los de sus </w:t>
      </w:r>
      <w:r w:rsidR="00830154">
        <w:rPr>
          <w:rFonts w:ascii="Times New Roman" w:eastAsia="Times New Roman" w:hAnsi="Times New Roman" w:cs="Times New Roman"/>
          <w:sz w:val="24"/>
          <w:szCs w:val="24"/>
        </w:rPr>
        <w:t>progenitores, continuando</w:t>
      </w:r>
      <w:r>
        <w:rPr>
          <w:rFonts w:ascii="Times New Roman" w:eastAsia="Times New Roman" w:hAnsi="Times New Roman" w:cs="Times New Roman"/>
          <w:sz w:val="24"/>
          <w:szCs w:val="24"/>
        </w:rPr>
        <w:t xml:space="preserve"> su proceso de cicatrización y crecimiento.</w:t>
      </w:r>
    </w:p>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FINAL</w:t>
      </w:r>
    </w:p>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los 9 meses de duración del proyecto, se consiguió triplicar el stock. De un stock inicial experimental de 300 individuos se consiguieron hasta 906 ejemplares, algunas por división espontánea y la gran mayoría por doble división </w:t>
      </w:r>
      <w:r w:rsidR="00830154">
        <w:rPr>
          <w:rFonts w:ascii="Times New Roman" w:eastAsia="Times New Roman" w:hAnsi="Times New Roman" w:cs="Times New Roman"/>
          <w:sz w:val="24"/>
          <w:szCs w:val="24"/>
        </w:rPr>
        <w:t>inducida, de</w:t>
      </w:r>
      <w:r>
        <w:rPr>
          <w:rFonts w:ascii="Times New Roman" w:eastAsia="Times New Roman" w:hAnsi="Times New Roman" w:cs="Times New Roman"/>
          <w:sz w:val="24"/>
          <w:szCs w:val="24"/>
        </w:rPr>
        <w:t xml:space="preserve"> los cuales, 184 individuos, 20.3% fueron destinados a los análisis de composición proximal y enzimáticos relacionados con los parámetros bioindicadores del estrés oxidativo y arquitectura histológica del tejido gonadal. El 79.7% restante, 895 anémonas fueron reintroducidas en sus lugares de origen de Calahonda, Salobreña y Almuñécar. Se registró una mortalidad del 8% asociada a la división asexual inducida.</w:t>
      </w:r>
    </w:p>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ejemplares destinados a muestreo, unos procedían de corte y otros sin manipulación alguna. Todas las muestras estaban identificadas su origen.</w:t>
      </w:r>
    </w:p>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anémonas cortadas por grupo. </w:t>
      </w:r>
    </w:p>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-Almuñécar: 159</w:t>
      </w:r>
    </w:p>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Salobreña: 119</w:t>
      </w:r>
    </w:p>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Calahonda: 170</w:t>
      </w:r>
    </w:p>
    <w:p w:rsidR="00501BD7" w:rsidRDefault="00501BD7">
      <w:pPr>
        <w:jc w:val="both"/>
        <w:rPr>
          <w:rFonts w:ascii="Times New Roman" w:eastAsia="Times New Roman" w:hAnsi="Times New Roman" w:cs="Times New Roman"/>
          <w:sz w:val="24"/>
          <w:szCs w:val="24"/>
        </w:rPr>
      </w:pPr>
    </w:p>
    <w:p w:rsidR="00501BD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IMTA</w:t>
      </w:r>
    </w:p>
    <w:p w:rsidR="00501BD7"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23 </w:t>
      </w:r>
      <w:proofErr w:type="gramStart"/>
      <w:r>
        <w:rPr>
          <w:rFonts w:ascii="Times New Roman" w:eastAsia="Times New Roman" w:hAnsi="Times New Roman" w:cs="Times New Roman"/>
          <w:i/>
          <w:sz w:val="24"/>
          <w:szCs w:val="24"/>
        </w:rPr>
        <w:t>Actinia</w:t>
      </w:r>
      <w:proofErr w:type="gramEnd"/>
      <w:r>
        <w:rPr>
          <w:rFonts w:ascii="Times New Roman" w:eastAsia="Times New Roman" w:hAnsi="Times New Roman" w:cs="Times New Roman"/>
          <w:i/>
          <w:sz w:val="24"/>
          <w:szCs w:val="24"/>
        </w:rPr>
        <w:t xml:space="preserve"> equina</w:t>
      </w:r>
    </w:p>
    <w:p w:rsidR="00501BD7"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14 </w:t>
      </w:r>
      <w:proofErr w:type="spellStart"/>
      <w:r>
        <w:rPr>
          <w:rFonts w:ascii="Times New Roman" w:eastAsia="Times New Roman" w:hAnsi="Times New Roman" w:cs="Times New Roman"/>
          <w:i/>
          <w:sz w:val="24"/>
          <w:szCs w:val="24"/>
        </w:rPr>
        <w:t>Holothuria</w:t>
      </w:r>
      <w:proofErr w:type="spellEnd"/>
      <w:r>
        <w:rPr>
          <w:rFonts w:ascii="Times New Roman" w:eastAsia="Times New Roman" w:hAnsi="Times New Roman" w:cs="Times New Roman"/>
          <w:i/>
          <w:sz w:val="24"/>
          <w:szCs w:val="24"/>
        </w:rPr>
        <w:t xml:space="preserve"> tubulosa</w:t>
      </w:r>
    </w:p>
    <w:p w:rsidR="00501BD7"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93 </w:t>
      </w:r>
      <w:proofErr w:type="spellStart"/>
      <w:r>
        <w:rPr>
          <w:rFonts w:ascii="Times New Roman" w:eastAsia="Times New Roman" w:hAnsi="Times New Roman" w:cs="Times New Roman"/>
          <w:i/>
          <w:sz w:val="24"/>
          <w:szCs w:val="24"/>
        </w:rPr>
        <w:t>Paracentrotus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lividus</w:t>
      </w:r>
      <w:proofErr w:type="spellEnd"/>
    </w:p>
    <w:p w:rsidR="00501BD7"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20 </w:t>
      </w:r>
      <w:proofErr w:type="spellStart"/>
      <w:r>
        <w:rPr>
          <w:rFonts w:ascii="Times New Roman" w:eastAsia="Times New Roman" w:hAnsi="Times New Roman" w:cs="Times New Roman"/>
          <w:i/>
          <w:sz w:val="24"/>
          <w:szCs w:val="24"/>
        </w:rPr>
        <w:t>Arbacia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lixula</w:t>
      </w:r>
      <w:proofErr w:type="spellEnd"/>
    </w:p>
    <w:p w:rsidR="00501BD7"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553 </w:t>
      </w:r>
      <w:proofErr w:type="spellStart"/>
      <w:r>
        <w:rPr>
          <w:rFonts w:ascii="Times New Roman" w:eastAsia="Times New Roman" w:hAnsi="Times New Roman" w:cs="Times New Roman"/>
          <w:i/>
          <w:sz w:val="24"/>
          <w:szCs w:val="24"/>
        </w:rPr>
        <w:t>Mytilus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edulis</w:t>
      </w:r>
      <w:proofErr w:type="spellEnd"/>
    </w:p>
    <w:p w:rsidR="00501BD7"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55 </w:t>
      </w:r>
      <w:proofErr w:type="spellStart"/>
      <w:r>
        <w:rPr>
          <w:rFonts w:ascii="Times New Roman" w:eastAsia="Times New Roman" w:hAnsi="Times New Roman" w:cs="Times New Roman"/>
          <w:i/>
          <w:sz w:val="24"/>
          <w:szCs w:val="24"/>
        </w:rPr>
        <w:t>Monodonta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turbinata</w:t>
      </w:r>
      <w:proofErr w:type="spellEnd"/>
    </w:p>
    <w:p w:rsidR="00501BD7"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15 </w:t>
      </w:r>
      <w:proofErr w:type="spellStart"/>
      <w:r>
        <w:rPr>
          <w:rFonts w:ascii="Times New Roman" w:eastAsia="Times New Roman" w:hAnsi="Times New Roman" w:cs="Times New Roman"/>
          <w:i/>
          <w:sz w:val="24"/>
          <w:szCs w:val="24"/>
        </w:rPr>
        <w:t>Patella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caerullea</w:t>
      </w:r>
      <w:proofErr w:type="spellEnd"/>
    </w:p>
    <w:sectPr w:rsidR="00501BD7">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BD7"/>
    <w:rsid w:val="00497C6F"/>
    <w:rsid w:val="00501BD7"/>
    <w:rsid w:val="00830154"/>
    <w:rsid w:val="009C6694"/>
    <w:rsid w:val="00D203C9"/>
    <w:rsid w:val="00F8487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FBE70E-9F30-4AFC-808D-741152C5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F14"/>
    <w:pPr>
      <w:spacing w:after="200" w:line="276" w:lineRule="auto"/>
    </w:pPr>
    <w:rPr>
      <w:rFonts w:ascii="Calibri" w:hAnsi="Calibri" w:cs="Calibri"/>
      <w:sz w:val="2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932F65"/>
    <w:rPr>
      <w:rFonts w:ascii="Tahoma" w:eastAsia="Calibri" w:hAnsi="Tahoma" w:cs="Tahoma"/>
      <w:sz w:val="16"/>
      <w:szCs w:val="16"/>
      <w:lang w:eastAsia="es-ES"/>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extodeglobo">
    <w:name w:val="Balloon Text"/>
    <w:basedOn w:val="Normal"/>
    <w:link w:val="TextodegloboCar"/>
    <w:uiPriority w:val="99"/>
    <w:semiHidden/>
    <w:unhideWhenUsed/>
    <w:qFormat/>
    <w:rsid w:val="00932F65"/>
    <w:pPr>
      <w:spacing w:after="0" w:line="240" w:lineRule="auto"/>
    </w:pPr>
    <w:rPr>
      <w:rFonts w:ascii="Tahoma" w:hAnsi="Tahoma" w:cs="Tahoma"/>
      <w:sz w:val="16"/>
      <w:szCs w:val="16"/>
    </w:rPr>
  </w:style>
  <w:style w:type="numbering" w:customStyle="1" w:styleId="Ningunalista">
    <w:name w:val="Ninguna lista"/>
    <w:uiPriority w:val="99"/>
    <w:semiHidden/>
    <w:unhideWhenUsed/>
    <w:qFormat/>
  </w:style>
  <w:style w:type="table" w:styleId="Sombreadomedio2">
    <w:name w:val="Medium Shading 2"/>
    <w:basedOn w:val="Tablanormal"/>
    <w:uiPriority w:val="64"/>
    <w:rsid w:val="00601F62"/>
    <w:rPr>
      <w:sz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576</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dc:description/>
  <cp:lastModifiedBy>collfernandezalberto@gmail.com</cp:lastModifiedBy>
  <cp:revision>5</cp:revision>
  <dcterms:created xsi:type="dcterms:W3CDTF">2025-03-17T18:13:00Z</dcterms:created>
  <dcterms:modified xsi:type="dcterms:W3CDTF">2025-03-19T12:08:00Z</dcterms:modified>
  <dc:language>es-ES</dc:language>
</cp:coreProperties>
</file>