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01A6" w:rsidRDefault="00B801A6" w:rsidP="00862DE6">
      <w:pPr>
        <w:jc w:val="both"/>
      </w:pPr>
      <w:r>
        <w:t>#1 PCA juntando mediciones de pie y tentáculo</w:t>
      </w:r>
    </w:p>
    <w:p w:rsidR="00B801A6" w:rsidRDefault="00C83859" w:rsidP="00862DE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C3E09">
            <wp:simplePos x="0" y="0"/>
            <wp:positionH relativeFrom="column">
              <wp:posOffset>-128270</wp:posOffset>
            </wp:positionH>
            <wp:positionV relativeFrom="paragraph">
              <wp:posOffset>67945</wp:posOffset>
            </wp:positionV>
            <wp:extent cx="3409950" cy="3032125"/>
            <wp:effectExtent l="0" t="0" r="0" b="0"/>
            <wp:wrapSquare wrapText="bothSides"/>
            <wp:docPr id="7461137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3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42">
        <w:rPr>
          <w:noProof/>
        </w:rPr>
        <w:t>Los</w:t>
      </w:r>
      <w:r w:rsidR="00B801A6">
        <w:t xml:space="preserve"> test de permutación </w:t>
      </w:r>
      <w:r w:rsidR="00005442">
        <w:t>para</w:t>
      </w:r>
      <w:r w:rsidR="009C6BAA">
        <w:t xml:space="preserve"> los estadísticos psi y phi fue</w:t>
      </w:r>
      <w:r w:rsidR="00005442">
        <w:t>ron</w:t>
      </w:r>
      <w:r w:rsidR="009C6BAA">
        <w:t xml:space="preserve"> significativo</w:t>
      </w:r>
      <w:r w:rsidR="00005442">
        <w:t>s</w:t>
      </w:r>
      <w:r w:rsidR="009C6BAA">
        <w:t xml:space="preserve"> en ambos casos, indicando que los datos presentan correlaciones no aleatorias, </w:t>
      </w:r>
      <w:r w:rsidR="00862DE6">
        <w:t>y,</w:t>
      </w:r>
      <w:r w:rsidR="009C6BAA">
        <w:t xml:space="preserve"> por tanto, </w:t>
      </w:r>
      <w:r w:rsidR="00862DE6">
        <w:t>el</w:t>
      </w:r>
      <w:r w:rsidR="009C6BAA">
        <w:t xml:space="preserve"> PCA tiene sentido biológico.</w:t>
      </w:r>
      <w:r w:rsidR="00862DE6">
        <w:t xml:space="preserve"> </w:t>
      </w:r>
    </w:p>
    <w:p w:rsidR="009C6BAA" w:rsidRDefault="009C6BAA" w:rsidP="00862DE6">
      <w:pPr>
        <w:jc w:val="both"/>
      </w:pPr>
      <w:r>
        <w:t>Dos componentes principales (</w:t>
      </w:r>
      <w:proofErr w:type="spellStart"/>
      <w:r>
        <w:t>PCs</w:t>
      </w:r>
      <w:proofErr w:type="spellEnd"/>
      <w:r>
        <w:t>) fueron significativos, y juntos representan el 51.6% de la varianza original de los datos. El PC 1 representa el 34.1 % (IC-</w:t>
      </w:r>
      <w:r w:rsidRPr="009C6BAA">
        <w:t>95%:</w:t>
      </w:r>
      <w:r>
        <w:t xml:space="preserve"> </w:t>
      </w:r>
      <w:r w:rsidRPr="009C6BAA">
        <w:t>28.9-41.8)</w:t>
      </w:r>
      <w:r>
        <w:t xml:space="preserve"> de la variación original, y a él contribuyen significativamente las variables </w:t>
      </w:r>
      <w:r w:rsidRPr="009C6BAA">
        <w:t xml:space="preserve">SOD, GR, GST, DTD, TEAC, MDA, </w:t>
      </w:r>
      <w:r>
        <w:t>fosfatasa alcalina</w:t>
      </w:r>
      <w:r w:rsidRPr="009C6BAA">
        <w:t xml:space="preserve">, </w:t>
      </w:r>
      <w:r>
        <w:t>y</w:t>
      </w:r>
      <w:r w:rsidRPr="009C6BAA">
        <w:t xml:space="preserve"> </w:t>
      </w:r>
      <w:proofErr w:type="spellStart"/>
      <w:r w:rsidR="00862DE6">
        <w:t>MPx</w:t>
      </w:r>
      <w:proofErr w:type="spellEnd"/>
      <w:r w:rsidR="00862DE6">
        <w:t xml:space="preserve">. El PC 2 explica el 17.6 % </w:t>
      </w:r>
      <w:r w:rsidR="00862DE6" w:rsidRPr="00862DE6">
        <w:t>(95%-CI:14.7-24.2)</w:t>
      </w:r>
      <w:r w:rsidR="00862DE6">
        <w:t xml:space="preserve"> de la variación original de los datos, y las variables CAT, GST y fosfatasa ácida contribuyen más de lo esperado por azar.</w:t>
      </w:r>
    </w:p>
    <w:p w:rsidR="00862DE6" w:rsidRDefault="00862DE6" w:rsidP="00862DE6">
      <w:pPr>
        <w:jc w:val="both"/>
      </w:pPr>
      <w:r>
        <w:t xml:space="preserve">En el </w:t>
      </w:r>
      <w:proofErr w:type="spellStart"/>
      <w:r>
        <w:t>biplot</w:t>
      </w:r>
      <w:proofErr w:type="spellEnd"/>
      <w:r>
        <w:t xml:space="preserve"> se observan cómo las muestras aparecen agrupadas según procedan de mediciones de pie (izquierda) o de tentáculo (derecha)</w:t>
      </w:r>
      <w:r w:rsidR="00F55FF7">
        <w:t xml:space="preserve">.  El PC1 nos revela que las muestras de tentáculo tienden a una mayor actividad SOD, GR, DTD y </w:t>
      </w:r>
      <w:proofErr w:type="spellStart"/>
      <w:r w:rsidR="00F55FF7">
        <w:t>MPx</w:t>
      </w:r>
      <w:proofErr w:type="spellEnd"/>
      <w:r w:rsidR="00F55FF7">
        <w:t>, mientras que en la columna tenemos mayor MDA, TEAC y GST. Aparte de esto, vemos que las observaciones del grupo Control, independientemente del tiempo, tienden a agruparse en la zona negativa del PC2, lo que indicaría niveles más bajos de actividad CAT, GST y fosfatasa ácida. Las muestras del grupo Sección, especialmente en tiempo 2, tienden a una mayor actividad de estas enzimas.</w:t>
      </w:r>
    </w:p>
    <w:p w:rsidR="00F55FF7" w:rsidRDefault="00F55FF7" w:rsidP="00862DE6">
      <w:pPr>
        <w:jc w:val="both"/>
      </w:pPr>
    </w:p>
    <w:p w:rsidR="00F55FF7" w:rsidRDefault="002C2728" w:rsidP="00F55FF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01415E">
            <wp:simplePos x="0" y="0"/>
            <wp:positionH relativeFrom="column">
              <wp:posOffset>2793862</wp:posOffset>
            </wp:positionH>
            <wp:positionV relativeFrom="paragraph">
              <wp:posOffset>194531</wp:posOffset>
            </wp:positionV>
            <wp:extent cx="3220085" cy="2868295"/>
            <wp:effectExtent l="0" t="0" r="0" b="8255"/>
            <wp:wrapSquare wrapText="bothSides"/>
            <wp:docPr id="11590263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6308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86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7">
        <w:t>#</w:t>
      </w:r>
      <w:r w:rsidR="00F55FF7">
        <w:t>2</w:t>
      </w:r>
      <w:r w:rsidR="00F55FF7">
        <w:t xml:space="preserve"> PCA </w:t>
      </w:r>
      <w:r w:rsidR="006A4A19">
        <w:t>sobre muestras columnares</w:t>
      </w:r>
    </w:p>
    <w:p w:rsidR="00F55FF7" w:rsidRDefault="00005442" w:rsidP="00862DE6">
      <w:pPr>
        <w:jc w:val="both"/>
      </w:pPr>
      <w:r>
        <w:rPr>
          <w:noProof/>
        </w:rPr>
        <w:t>Los</w:t>
      </w:r>
      <w:r>
        <w:t xml:space="preserve"> </w:t>
      </w:r>
      <w:r>
        <w:t xml:space="preserve">test de permutación </w:t>
      </w:r>
      <w:r>
        <w:t>para</w:t>
      </w:r>
      <w:r>
        <w:t xml:space="preserve"> los estadísticos psi y phi fue</w:t>
      </w:r>
      <w:r>
        <w:t>ron</w:t>
      </w:r>
      <w:r>
        <w:t xml:space="preserve"> significativo</w:t>
      </w:r>
      <w:r>
        <w:t>s</w:t>
      </w:r>
      <w:r>
        <w:t xml:space="preserve"> en ambos casos, indicando que los datos presentan correlaciones no aleatorias, y, por tanto, el PCA tiene sentido biológico</w:t>
      </w:r>
    </w:p>
    <w:p w:rsidR="009D07EB" w:rsidRDefault="009D07EB" w:rsidP="009D07EB">
      <w:pPr>
        <w:jc w:val="both"/>
      </w:pPr>
      <w:r>
        <w:t>Dos componentes principales (</w:t>
      </w:r>
      <w:proofErr w:type="spellStart"/>
      <w:r>
        <w:t>PCs</w:t>
      </w:r>
      <w:proofErr w:type="spellEnd"/>
      <w:r>
        <w:t>) fueron significativos, y juntos representa</w:t>
      </w:r>
      <w:r>
        <w:t>ron</w:t>
      </w:r>
      <w:r>
        <w:t xml:space="preserve"> el 51.</w:t>
      </w:r>
      <w:r>
        <w:t>4</w:t>
      </w:r>
      <w:r>
        <w:t>% de la varianza original de los datos. El PC 1 represent</w:t>
      </w:r>
      <w:r>
        <w:t>ó</w:t>
      </w:r>
      <w:r>
        <w:t xml:space="preserve"> el 3</w:t>
      </w:r>
      <w:r>
        <w:t>2.9</w:t>
      </w:r>
      <w:r>
        <w:t xml:space="preserve"> % </w:t>
      </w:r>
      <w:r w:rsidRPr="009D07EB">
        <w:t>(</w:t>
      </w:r>
      <w:r>
        <w:t>IC-</w:t>
      </w:r>
      <w:r w:rsidRPr="009D07EB">
        <w:t>95%:26.4-45)</w:t>
      </w:r>
      <w:r>
        <w:t xml:space="preserve"> </w:t>
      </w:r>
      <w:r>
        <w:t xml:space="preserve">de la variación original, y a él contribuyen significativamente las variables </w:t>
      </w:r>
      <w:r w:rsidR="002C2728">
        <w:t>SOD</w:t>
      </w:r>
      <w:r w:rsidRPr="009C6BAA">
        <w:t xml:space="preserve">, </w:t>
      </w:r>
      <w:r w:rsidR="002C2728">
        <w:t>CAT</w:t>
      </w:r>
      <w:r w:rsidRPr="009C6BAA">
        <w:t xml:space="preserve">, </w:t>
      </w:r>
      <w:r w:rsidR="002C2728">
        <w:t>GPx, GST</w:t>
      </w:r>
      <w:r>
        <w:t xml:space="preserve"> y</w:t>
      </w:r>
      <w:r w:rsidRPr="009C6BAA">
        <w:t xml:space="preserve"> MD</w:t>
      </w:r>
      <w:r>
        <w:t>A</w:t>
      </w:r>
      <w:r>
        <w:t>. El PC 2 explic</w:t>
      </w:r>
      <w:r>
        <w:t>ó</w:t>
      </w:r>
      <w:r>
        <w:t xml:space="preserve"> el </w:t>
      </w:r>
      <w:r>
        <w:t>18.5</w:t>
      </w:r>
      <w:r>
        <w:t xml:space="preserve"> % </w:t>
      </w:r>
      <w:r w:rsidRPr="00862DE6">
        <w:t>(</w:t>
      </w:r>
      <w:r>
        <w:t>IC-</w:t>
      </w:r>
      <w:r w:rsidRPr="00862DE6">
        <w:t>95%:</w:t>
      </w:r>
      <w:r w:rsidRPr="009D07EB">
        <w:t xml:space="preserve"> </w:t>
      </w:r>
      <w:r w:rsidRPr="009D07EB">
        <w:t>15.8-24.5</w:t>
      </w:r>
      <w:r w:rsidRPr="00862DE6">
        <w:t>)</w:t>
      </w:r>
      <w:r>
        <w:t xml:space="preserve"> de la variación original de los datos, y</w:t>
      </w:r>
      <w:r>
        <w:t xml:space="preserve"> sólo la variable </w:t>
      </w:r>
      <w:proofErr w:type="spellStart"/>
      <w:r>
        <w:t>MPx</w:t>
      </w:r>
      <w:proofErr w:type="spellEnd"/>
      <w:r>
        <w:t xml:space="preserve"> contribuyó</w:t>
      </w:r>
      <w:r>
        <w:t xml:space="preserve"> más de lo esperado por azar.</w:t>
      </w:r>
    </w:p>
    <w:p w:rsidR="00311386" w:rsidRDefault="00311386" w:rsidP="009D07EB">
      <w:pPr>
        <w:jc w:val="both"/>
      </w:pPr>
      <w:r>
        <w:t xml:space="preserve">En el </w:t>
      </w:r>
      <w:proofErr w:type="spellStart"/>
      <w:r>
        <w:t>biplot</w:t>
      </w:r>
      <w:proofErr w:type="spellEnd"/>
      <w:r>
        <w:t xml:space="preserve"> se puede observar cómo las el PC 1 parece correlacionarse positivamente con una mayor actividad antioxidante, principalmente representada por las enzimas </w:t>
      </w:r>
      <w:r w:rsidR="002C2728">
        <w:t>SOD</w:t>
      </w:r>
      <w:r>
        <w:t>,</w:t>
      </w:r>
      <w:r w:rsidR="002C2728">
        <w:t xml:space="preserve"> CAT,</w:t>
      </w:r>
      <w:r>
        <w:t xml:space="preserve"> GPx y GST. En cambio, el MDA contribuye negativamente a este componente principal, y se correlaciona negativamente con estas tres variables. Las </w:t>
      </w:r>
      <w:r>
        <w:lastRenderedPageBreak/>
        <w:t xml:space="preserve">anémonas del grupo Control parecen caracterizarse principalmente por una mayor actividad </w:t>
      </w:r>
      <w:proofErr w:type="spellStart"/>
      <w:r>
        <w:t>MPx</w:t>
      </w:r>
      <w:proofErr w:type="spellEnd"/>
      <w:r>
        <w:t xml:space="preserve"> según el PC2, y además</w:t>
      </w:r>
      <w:r w:rsidR="006A4A19">
        <w:t xml:space="preserve"> aparece una ligera tendencia a presentar más actividad G6PDH y mayores niveles de MDA. En cambio, las anémonas seccionadas presentan menor actividad </w:t>
      </w:r>
      <w:proofErr w:type="spellStart"/>
      <w:r w:rsidR="006A4A19">
        <w:t>MPx</w:t>
      </w:r>
      <w:proofErr w:type="spellEnd"/>
      <w:r w:rsidR="006A4A19">
        <w:t>, y una tendencia a mayor actividad fosfatasa, tanto ácida como alcalina.</w:t>
      </w:r>
    </w:p>
    <w:p w:rsidR="006A4A19" w:rsidRDefault="006A4A19" w:rsidP="009D07EB">
      <w:pPr>
        <w:jc w:val="both"/>
      </w:pPr>
    </w:p>
    <w:p w:rsidR="006A4A19" w:rsidRDefault="00C83859" w:rsidP="006A4A19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9EE72A">
            <wp:simplePos x="0" y="0"/>
            <wp:positionH relativeFrom="column">
              <wp:posOffset>-250190</wp:posOffset>
            </wp:positionH>
            <wp:positionV relativeFrom="paragraph">
              <wp:posOffset>203200</wp:posOffset>
            </wp:positionV>
            <wp:extent cx="3365500" cy="3167380"/>
            <wp:effectExtent l="0" t="0" r="6350" b="0"/>
            <wp:wrapSquare wrapText="bothSides"/>
            <wp:docPr id="10770842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84234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16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A19">
        <w:t>#</w:t>
      </w:r>
      <w:r w:rsidR="006A4A19">
        <w:t>3</w:t>
      </w:r>
      <w:r w:rsidR="006A4A19">
        <w:t xml:space="preserve"> PCA </w:t>
      </w:r>
      <w:r w:rsidR="006A4A19">
        <w:t xml:space="preserve">para muestras </w:t>
      </w:r>
      <w:r w:rsidR="006A4A19">
        <w:t>tent</w:t>
      </w:r>
      <w:r w:rsidR="006A4A19">
        <w:t>aculares</w:t>
      </w:r>
    </w:p>
    <w:p w:rsidR="001D41BF" w:rsidRDefault="001D41BF" w:rsidP="001D41BF">
      <w:pPr>
        <w:jc w:val="both"/>
      </w:pPr>
      <w:r>
        <w:t xml:space="preserve">Los </w:t>
      </w:r>
      <w:r>
        <w:t xml:space="preserve">test de permutación para los estadísticos psi y phi fueron significativos en ambos casos, indicando que los datos presentan correlaciones no aleatorias, y, por tanto, el PCA tiene sentido biológico. </w:t>
      </w:r>
    </w:p>
    <w:p w:rsidR="0016640B" w:rsidRDefault="001D41BF" w:rsidP="0016640B">
      <w:pPr>
        <w:jc w:val="both"/>
      </w:pPr>
      <w:r>
        <w:t xml:space="preserve">El PC 1 fue el único componente principal significativo según el test de permutación, y que por tanto </w:t>
      </w:r>
      <w:r w:rsidR="0016640B">
        <w:t xml:space="preserve">refleja correlaciones no aleatorias entre las variables. Representó un </w:t>
      </w:r>
      <w:r w:rsidR="0016640B" w:rsidRPr="0016640B">
        <w:t>32.2% (</w:t>
      </w:r>
      <w:r w:rsidR="0016640B">
        <w:t>IC-</w:t>
      </w:r>
      <w:r w:rsidR="0016640B" w:rsidRPr="0016640B">
        <w:t xml:space="preserve">95%:26.3-43.3) </w:t>
      </w:r>
      <w:r w:rsidR="0016640B">
        <w:t xml:space="preserve">de la varianza original de los datos. Las variables que contribuyeron más de los esperado por azar a este componente fueron la </w:t>
      </w:r>
      <w:r w:rsidR="0016640B" w:rsidRPr="0016640B">
        <w:t xml:space="preserve">CAT, GR, GST, </w:t>
      </w:r>
      <w:proofErr w:type="spellStart"/>
      <w:r w:rsidR="0016640B">
        <w:t>MPx</w:t>
      </w:r>
      <w:proofErr w:type="spellEnd"/>
      <w:r w:rsidR="0016640B">
        <w:t>, y ambas fosfatasas.</w:t>
      </w:r>
    </w:p>
    <w:p w:rsidR="0016640B" w:rsidRPr="0016640B" w:rsidRDefault="0016640B" w:rsidP="0016640B">
      <w:pPr>
        <w:jc w:val="both"/>
      </w:pPr>
      <w:r>
        <w:t>Todas ellas contribuyen en la misma dirección al PC 1. El PC 2 no tuvo un valor único significativo, por lo que no se puede rechazar que refleje correlaciones aleatorias debidas a error de muestreo.</w:t>
      </w:r>
      <w:r w:rsidR="007D6867">
        <w:t xml:space="preserve"> Aun así, las variables que más contribuyeron a este PC fueron TEAC, DTD y GST. Las muestras tentaculares no difieren mucho en cuanto al PC 1, excepto las muestras seccionadas a tiempo 2, que se agrupan todas ellas en los cuadrantes izquierdos del </w:t>
      </w:r>
      <w:proofErr w:type="spellStart"/>
      <w:r w:rsidR="007D6867">
        <w:t>biplot</w:t>
      </w:r>
      <w:proofErr w:type="spellEnd"/>
      <w:r w:rsidR="007D6867">
        <w:t xml:space="preserve">, indicando que presentan menor actividad CAT, GR, GST y </w:t>
      </w:r>
      <w:proofErr w:type="spellStart"/>
      <w:r w:rsidR="007D6867">
        <w:t>MPx</w:t>
      </w:r>
      <w:proofErr w:type="spellEnd"/>
      <w:r w:rsidR="007D6867">
        <w:t xml:space="preserve"> que otros grupos. Llama la atención la separación entre muestras seccionadas a T1 y a T2, debida a una tendencia a mayor actividad DTD y GST a T1, y a una menor actividad enzimática antioxidante general a T2.</w:t>
      </w:r>
    </w:p>
    <w:sectPr w:rsidR="0016640B" w:rsidRPr="0016640B" w:rsidSect="00590F7C">
      <w:pgSz w:w="11906" w:h="16838" w:code="9"/>
      <w:pgMar w:top="1440" w:right="1134" w:bottom="1440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A6"/>
    <w:rsid w:val="000012C8"/>
    <w:rsid w:val="00005442"/>
    <w:rsid w:val="00057E3A"/>
    <w:rsid w:val="00071253"/>
    <w:rsid w:val="000D2456"/>
    <w:rsid w:val="00120650"/>
    <w:rsid w:val="0016640B"/>
    <w:rsid w:val="001D41BF"/>
    <w:rsid w:val="00286446"/>
    <w:rsid w:val="002A22AF"/>
    <w:rsid w:val="002B4315"/>
    <w:rsid w:val="002C2728"/>
    <w:rsid w:val="00311386"/>
    <w:rsid w:val="00317666"/>
    <w:rsid w:val="00385CAB"/>
    <w:rsid w:val="0044171F"/>
    <w:rsid w:val="004A7B87"/>
    <w:rsid w:val="00590F7C"/>
    <w:rsid w:val="005E5780"/>
    <w:rsid w:val="0066003B"/>
    <w:rsid w:val="006A4A19"/>
    <w:rsid w:val="007D6867"/>
    <w:rsid w:val="008343CA"/>
    <w:rsid w:val="00834A8F"/>
    <w:rsid w:val="00862DE6"/>
    <w:rsid w:val="0088329E"/>
    <w:rsid w:val="008A3754"/>
    <w:rsid w:val="008F3720"/>
    <w:rsid w:val="009C6BAA"/>
    <w:rsid w:val="009D07EB"/>
    <w:rsid w:val="00A96E5F"/>
    <w:rsid w:val="00B551F0"/>
    <w:rsid w:val="00B801A6"/>
    <w:rsid w:val="00B9285A"/>
    <w:rsid w:val="00BC3BE5"/>
    <w:rsid w:val="00C319DC"/>
    <w:rsid w:val="00C836FC"/>
    <w:rsid w:val="00C83859"/>
    <w:rsid w:val="00CB4AD3"/>
    <w:rsid w:val="00CE0285"/>
    <w:rsid w:val="00DC118E"/>
    <w:rsid w:val="00EC4A3A"/>
    <w:rsid w:val="00F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EE42"/>
  <w15:chartTrackingRefBased/>
  <w15:docId w15:val="{67D6A42C-3B2B-4473-8A54-C85775DF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5A"/>
  </w:style>
  <w:style w:type="paragraph" w:styleId="Ttulo1">
    <w:name w:val="heading 1"/>
    <w:basedOn w:val="Normal"/>
    <w:next w:val="Normal"/>
    <w:link w:val="Ttulo1Car"/>
    <w:uiPriority w:val="9"/>
    <w:qFormat/>
    <w:rsid w:val="00B9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4D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4D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335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64D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1A6"/>
    <w:pPr>
      <w:keepNext/>
      <w:keepLines/>
      <w:spacing w:before="80" w:after="40"/>
      <w:outlineLvl w:val="4"/>
    </w:pPr>
    <w:rPr>
      <w:rFonts w:eastAsiaTheme="majorEastAsia" w:cstheme="majorBidi"/>
      <w:color w:val="064D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Paragraph">
    <w:name w:val="First Paragraph"/>
    <w:basedOn w:val="Textoindependiente"/>
    <w:next w:val="Textoindependiente"/>
    <w:rsid w:val="004A7B87"/>
    <w:rPr>
      <w:lang w:val="en-US"/>
    </w:rPr>
  </w:style>
  <w:style w:type="paragraph" w:styleId="Textoindependiente">
    <w:name w:val="Body Text"/>
    <w:basedOn w:val="Normal"/>
    <w:link w:val="TextoindependienteCar"/>
    <w:rsid w:val="004A7B87"/>
    <w:pPr>
      <w:ind w:firstLine="284"/>
    </w:pPr>
    <w:rPr>
      <w:rFonts w:ascii="Cambria" w:hAnsi="Cambria"/>
    </w:rPr>
  </w:style>
  <w:style w:type="character" w:customStyle="1" w:styleId="TextoindependienteCar">
    <w:name w:val="Texto independiente Car"/>
    <w:basedOn w:val="Fuentedeprrafopredeter"/>
    <w:link w:val="Textoindependiente"/>
    <w:rsid w:val="004A7B87"/>
    <w:rPr>
      <w:rFonts w:ascii="Cambria" w:hAnsi="Cambria"/>
    </w:rPr>
  </w:style>
  <w:style w:type="paragraph" w:styleId="Ttulo">
    <w:name w:val="Title"/>
    <w:basedOn w:val="Normal"/>
    <w:next w:val="Normal"/>
    <w:link w:val="TtuloCar"/>
    <w:uiPriority w:val="10"/>
    <w:qFormat/>
    <w:rsid w:val="00B9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thor">
    <w:name w:val="Author"/>
    <w:next w:val="Textoindependiente"/>
    <w:rsid w:val="00057E3A"/>
    <w:pPr>
      <w:keepNext/>
      <w:keepLines/>
      <w:jc w:val="right"/>
    </w:pPr>
    <w:rPr>
      <w:lang w:val="en-US"/>
    </w:rPr>
  </w:style>
  <w:style w:type="paragraph" w:styleId="Fecha">
    <w:name w:val="Date"/>
    <w:next w:val="Textoindependiente"/>
    <w:link w:val="FechaCar"/>
    <w:rsid w:val="00057E3A"/>
    <w:pPr>
      <w:keepNext/>
      <w:keepLines/>
      <w:jc w:val="right"/>
    </w:pPr>
    <w:rPr>
      <w:lang w:val="en-US"/>
    </w:rPr>
  </w:style>
  <w:style w:type="character" w:customStyle="1" w:styleId="FechaCar">
    <w:name w:val="Fecha Car"/>
    <w:basedOn w:val="Fuentedeprrafopredeter"/>
    <w:link w:val="Fecha"/>
    <w:rsid w:val="00057E3A"/>
    <w:rPr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9285A"/>
    <w:rPr>
      <w:rFonts w:asciiTheme="majorHAnsi" w:eastAsiaTheme="majorEastAsia" w:hAnsiTheme="majorHAnsi" w:cstheme="majorBidi"/>
      <w:color w:val="064D80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9285A"/>
    <w:rPr>
      <w:rFonts w:asciiTheme="majorHAnsi" w:eastAsiaTheme="majorEastAsia" w:hAnsiTheme="majorHAnsi" w:cstheme="majorBidi"/>
      <w:color w:val="064D8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285A"/>
    <w:rPr>
      <w:rFonts w:asciiTheme="majorHAnsi" w:eastAsiaTheme="majorEastAsia" w:hAnsiTheme="majorHAnsi" w:cstheme="majorBidi"/>
      <w:color w:val="043355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9285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801A6"/>
    <w:rPr>
      <w:rFonts w:eastAsiaTheme="majorEastAsia" w:cstheme="majorBidi"/>
      <w:i/>
      <w:iCs/>
      <w:color w:val="064D8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1A6"/>
    <w:rPr>
      <w:rFonts w:eastAsiaTheme="majorEastAsia" w:cstheme="majorBidi"/>
      <w:color w:val="064D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1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1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1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1A6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1A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801A6"/>
    <w:rPr>
      <w:i/>
      <w:iCs/>
      <w:color w:val="064D8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1A6"/>
    <w:pPr>
      <w:pBdr>
        <w:top w:val="single" w:sz="4" w:space="10" w:color="064D80" w:themeColor="accent1" w:themeShade="BF"/>
        <w:bottom w:val="single" w:sz="4" w:space="10" w:color="064D80" w:themeColor="accent1" w:themeShade="BF"/>
      </w:pBdr>
      <w:spacing w:before="360" w:after="360"/>
      <w:ind w:left="864" w:right="864"/>
      <w:jc w:val="center"/>
    </w:pPr>
    <w:rPr>
      <w:i/>
      <w:iCs/>
      <w:color w:val="064D8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1A6"/>
    <w:rPr>
      <w:i/>
      <w:iCs/>
      <w:color w:val="064D80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1A6"/>
    <w:rPr>
      <w:b/>
      <w:bCs/>
      <w:smallCaps/>
      <w:color w:val="064D80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64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640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ColorBrewer &quot;GnBu&quot;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0868AC"/>
      </a:accent1>
      <a:accent2>
        <a:srgbClr val="43A2CA"/>
      </a:accent2>
      <a:accent3>
        <a:srgbClr val="7BCCC4"/>
      </a:accent3>
      <a:accent4>
        <a:srgbClr val="A8DDB5"/>
      </a:accent4>
      <a:accent5>
        <a:srgbClr val="CCEBC5"/>
      </a:accent5>
      <a:accent6>
        <a:srgbClr val="F0F9E8"/>
      </a:accent6>
      <a:hlink>
        <a:srgbClr val="F59E00"/>
      </a:hlink>
      <a:folHlink>
        <a:srgbClr val="B2B2B2"/>
      </a:folHlink>
    </a:clrScheme>
    <a:fontScheme name="Calibri Ligh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collfernandezalberto@gmail.com</dc:creator>
  <cp:keywords/>
  <dc:description/>
  <cp:lastModifiedBy>collfernandezalberto@gmail.com</cp:lastModifiedBy>
  <cp:revision>4</cp:revision>
  <dcterms:created xsi:type="dcterms:W3CDTF">2025-09-29T13:27:00Z</dcterms:created>
  <dcterms:modified xsi:type="dcterms:W3CDTF">2025-09-29T16:05:00Z</dcterms:modified>
</cp:coreProperties>
</file>