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7234" w14:textId="43796609" w:rsidR="00BC05D9" w:rsidRPr="00BC05D9" w:rsidRDefault="00BC05D9" w:rsidP="00BC05D9">
      <w:pPr>
        <w:ind w:left="720" w:hanging="360"/>
        <w:rPr>
          <w:b/>
          <w:bCs/>
        </w:rPr>
      </w:pPr>
      <w:proofErr w:type="spellStart"/>
      <w:r w:rsidRPr="00BC05D9">
        <w:rPr>
          <w:b/>
          <w:bCs/>
        </w:rPr>
        <w:t>Research</w:t>
      </w:r>
      <w:proofErr w:type="spellEnd"/>
      <w:r w:rsidRPr="00BC05D9">
        <w:rPr>
          <w:b/>
          <w:bCs/>
        </w:rPr>
        <w:t xml:space="preserve"> </w:t>
      </w:r>
      <w:proofErr w:type="spellStart"/>
      <w:r w:rsidRPr="00BC05D9">
        <w:rPr>
          <w:b/>
          <w:bCs/>
        </w:rPr>
        <w:t>Higlights</w:t>
      </w:r>
      <w:proofErr w:type="spellEnd"/>
    </w:p>
    <w:p w14:paraId="42E35C42" w14:textId="068D8EB6" w:rsidR="00BC05D9" w:rsidRPr="00BC05D9" w:rsidRDefault="00BC05D9" w:rsidP="00BC05D9">
      <w:pPr>
        <w:pStyle w:val="Prrafodelista"/>
        <w:numPr>
          <w:ilvl w:val="0"/>
          <w:numId w:val="1"/>
        </w:numPr>
        <w:rPr>
          <w:lang w:val="en-US"/>
        </w:rPr>
      </w:pPr>
      <w:r w:rsidRPr="00BC05D9">
        <w:rPr>
          <w:lang w:val="en-US"/>
        </w:rPr>
        <w:t xml:space="preserve">Longitudinal fission is an effective inductor of asexual reproduction in </w:t>
      </w:r>
      <w:proofErr w:type="spellStart"/>
      <w:r w:rsidRPr="00BC05D9">
        <w:rPr>
          <w:i/>
          <w:iCs/>
          <w:lang w:val="en-US"/>
        </w:rPr>
        <w:t>Anemonia</w:t>
      </w:r>
      <w:proofErr w:type="spellEnd"/>
      <w:r w:rsidRPr="00BC05D9">
        <w:rPr>
          <w:i/>
          <w:iCs/>
          <w:lang w:val="en-US"/>
        </w:rPr>
        <w:t xml:space="preserve"> </w:t>
      </w:r>
      <w:proofErr w:type="spellStart"/>
      <w:r w:rsidRPr="00BC05D9">
        <w:rPr>
          <w:i/>
          <w:iCs/>
          <w:lang w:val="en-US"/>
        </w:rPr>
        <w:t>viridis</w:t>
      </w:r>
      <w:proofErr w:type="spellEnd"/>
      <w:r w:rsidRPr="00BC05D9">
        <w:rPr>
          <w:lang w:val="en-US"/>
        </w:rPr>
        <w:t>.</w:t>
      </w:r>
    </w:p>
    <w:p w14:paraId="27572326" w14:textId="77777777" w:rsidR="00BC05D9" w:rsidRPr="00BC05D9" w:rsidRDefault="00BC05D9" w:rsidP="00BC05D9">
      <w:pPr>
        <w:rPr>
          <w:lang w:val="en-US"/>
        </w:rPr>
      </w:pPr>
    </w:p>
    <w:p w14:paraId="54EC341B" w14:textId="3F3A44A6" w:rsidR="00BC05D9" w:rsidRPr="00BC05D9" w:rsidRDefault="00BC05D9" w:rsidP="00BC05D9">
      <w:pPr>
        <w:pStyle w:val="Prrafodelista"/>
        <w:numPr>
          <w:ilvl w:val="0"/>
          <w:numId w:val="1"/>
        </w:numPr>
        <w:rPr>
          <w:lang w:val="en-US"/>
        </w:rPr>
      </w:pPr>
      <w:r w:rsidRPr="00BC05D9">
        <w:rPr>
          <w:lang w:val="en-US"/>
        </w:rPr>
        <w:t>Changes to antioxidant defenses are not linked to higher lipid peroxidation</w:t>
      </w:r>
      <w:r w:rsidRPr="00BC05D9">
        <w:rPr>
          <w:lang w:val="en-US"/>
        </w:rPr>
        <w:t>.</w:t>
      </w:r>
    </w:p>
    <w:p w14:paraId="0497DEB5" w14:textId="77777777" w:rsidR="00BC05D9" w:rsidRPr="00BC05D9" w:rsidRDefault="00BC05D9" w:rsidP="00BC05D9">
      <w:pPr>
        <w:rPr>
          <w:lang w:val="en-US"/>
        </w:rPr>
      </w:pPr>
    </w:p>
    <w:p w14:paraId="514772A3" w14:textId="5F92ECB4" w:rsidR="00BC05D9" w:rsidRPr="00BC05D9" w:rsidRDefault="00BC05D9" w:rsidP="00BC05D9">
      <w:pPr>
        <w:pStyle w:val="Prrafodelista"/>
        <w:numPr>
          <w:ilvl w:val="0"/>
          <w:numId w:val="1"/>
        </w:numPr>
        <w:rPr>
          <w:lang w:val="en-US"/>
        </w:rPr>
      </w:pPr>
      <w:r w:rsidRPr="00BC05D9">
        <w:rPr>
          <w:lang w:val="en-US"/>
        </w:rPr>
        <w:t>Wound healing occurs within a week post-injury, based on histological immune markers</w:t>
      </w:r>
      <w:r w:rsidRPr="00BC05D9">
        <w:rPr>
          <w:lang w:val="en-US"/>
        </w:rPr>
        <w:t>.</w:t>
      </w:r>
    </w:p>
    <w:p w14:paraId="3D05A97D" w14:textId="77777777" w:rsidR="00BC05D9" w:rsidRPr="00BC05D9" w:rsidRDefault="00BC05D9" w:rsidP="00BC05D9">
      <w:pPr>
        <w:rPr>
          <w:lang w:val="en-US"/>
        </w:rPr>
      </w:pPr>
    </w:p>
    <w:p w14:paraId="7AD6D1CC" w14:textId="3387108E" w:rsidR="0080316B" w:rsidRPr="00BC05D9" w:rsidRDefault="00BC05D9" w:rsidP="00BC05D9">
      <w:pPr>
        <w:pStyle w:val="Prrafodelista"/>
        <w:numPr>
          <w:ilvl w:val="0"/>
          <w:numId w:val="1"/>
        </w:numPr>
        <w:rPr>
          <w:lang w:val="en-US"/>
        </w:rPr>
      </w:pPr>
      <w:r w:rsidRPr="00BC05D9">
        <w:rPr>
          <w:lang w:val="en-US"/>
        </w:rPr>
        <w:t>B</w:t>
      </w:r>
      <w:r w:rsidRPr="00BC05D9">
        <w:rPr>
          <w:lang w:val="en-US"/>
        </w:rPr>
        <w:t>iochemical markers of inflammation and regeneration are unresponsive at four weeks post-injury</w:t>
      </w:r>
      <w:r w:rsidRPr="00BC05D9">
        <w:rPr>
          <w:lang w:val="en-US"/>
        </w:rPr>
        <w:t>.</w:t>
      </w:r>
    </w:p>
    <w:sectPr w:rsidR="0080316B" w:rsidRPr="00BC0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2ED1"/>
    <w:multiLevelType w:val="hybridMultilevel"/>
    <w:tmpl w:val="87E848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3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D9"/>
    <w:rsid w:val="00394294"/>
    <w:rsid w:val="0080316B"/>
    <w:rsid w:val="00B7272B"/>
    <w:rsid w:val="00BC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0FB2A"/>
  <w15:chartTrackingRefBased/>
  <w15:docId w15:val="{4A78B900-60E2-48FC-AFD1-0A3407C7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COLL FERNÁNDEZ</dc:creator>
  <cp:keywords/>
  <dc:description/>
  <cp:lastModifiedBy>ALBERTO COLL FERNÁNDEZ</cp:lastModifiedBy>
  <cp:revision>1</cp:revision>
  <dcterms:created xsi:type="dcterms:W3CDTF">2026-03-09T14:01:00Z</dcterms:created>
  <dcterms:modified xsi:type="dcterms:W3CDTF">2026-03-09T14:02:00Z</dcterms:modified>
</cp:coreProperties>
</file>