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6B" w:val="clear"/>
            <w:tcMar>
              <w:top w:type="dxa" w:w="240"/>
              <w:left w:type="dxa" w:w="360"/>
              <w:bottom w:type="dxa" w:w="240"/>
              <w:right w:type="dxa" w:w="360"/>
            </w:tcMar>
          </w:tcPr>
          <w:p>
            <w:pPr>
              <w:spacing w:after="40" w:before="0"/>
              <w:jc w:val="center"/>
            </w:pPr>
            <w:r>
              <w:rPr>
                <w:rFonts w:ascii="Arial" w:cs="Arial" w:eastAsia="Arial" w:hAnsi="Arial"/>
                <w:color w:val="B0C4DE"/>
                <w:sz w:val="18"/>
                <w:szCs w:val="18"/>
              </w:rPr>
              <w:t xml:space="preserve">GLOBAL QUALITY PLATFORM — PERFORMANCE EVALUATION</w:t>
            </w:r>
          </w:p>
          <w:p>
            <w:pPr>
              <w:spacing w:after="40" w:before="0"/>
              <w:jc w:val="center"/>
            </w:pPr>
            <w:r>
              <w:rPr>
                <w:rFonts w:ascii="Arial" w:cs="Arial" w:eastAsia="Arial" w:hAnsi="Arial"/>
                <w:b/>
                <w:bCs/>
                <w:color w:val="FFFFFF"/>
                <w:sz w:val="36"/>
                <w:szCs w:val="36"/>
              </w:rPr>
              <w:t xml:space="preserve">Test Charter for IQVIA SmartSolve</w:t>
            </w:r>
          </w:p>
          <w:p>
            <w:pPr>
              <w:spacing w:after="60" w:before="0"/>
              <w:jc w:val="center"/>
            </w:pPr>
            <w:r>
              <w:rPr>
                <w:rFonts w:ascii="Arial" w:cs="Arial" w:eastAsia="Arial" w:hAnsi="Arial"/>
                <w:color w:val="B0C4DE"/>
                <w:sz w:val="18"/>
                <w:szCs w:val="18"/>
              </w:rPr>
              <w:t xml:space="preserve">Formal notification of test scope, methodology and acceptance criteria</w:t>
            </w:r>
          </w:p>
          <w:p>
            <w:pPr>
              <w:spacing w:after="0" w:before="0"/>
              <w:jc w:val="center"/>
            </w:pPr>
            <w:r>
              <w:rPr>
                <w:rFonts w:ascii="Arial" w:cs="Arial" w:eastAsia="Arial" w:hAnsi="Arial"/>
                <w:color w:val="8FA8CC"/>
                <w:sz w:val="14"/>
                <w:szCs w:val="14"/>
              </w:rPr>
              <w:t xml:space="preserve">Issued by: Alberto Fumero, IT Application Manager  |  Date: May 2025  |  Ref: QMA-CHARTER-IQVIA-001</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E5E3DE" w:sz="1"/>
              <w:left w:val="single" w:color="E5E3DE" w:sz="1"/>
              <w:bottom w:val="single" w:color="E5E3DE" w:sz="1"/>
              <w:right w:val="single" w:color="E5E3DE" w:sz="1"/>
            </w:tcBorders>
            <w:shd w:fill="F4F3F0" w:val="clear"/>
            <w:tcMar>
              <w:top w:type="dxa" w:w="120"/>
              <w:left w:type="dxa" w:w="160"/>
              <w:bottom w:type="dxa" w:w="120"/>
              <w:right w:type="dxa" w:w="160"/>
            </w:tcMar>
            <w:vAlign w:val="top"/>
          </w:tcPr>
          <w:p>
            <w:pPr>
              <w:spacing w:after="40" w:before="0"/>
            </w:pPr>
            <w:r>
              <w:rPr>
                <w:rFonts w:ascii="Arial" w:cs="Arial" w:eastAsia="Arial" w:hAnsi="Arial"/>
                <w:b/>
                <w:bCs/>
                <w:color w:val="0C6E8C"/>
                <w:sz w:val="16"/>
                <w:szCs w:val="16"/>
              </w:rPr>
              <w:t xml:space="preserve">TO (VENDOR):</w:t>
            </w:r>
          </w:p>
          <w:p>
            <w:pPr>
              <w:spacing w:after="20" w:before="0"/>
            </w:pPr>
            <w:r>
              <w:rPr>
                <w:rFonts w:ascii="Arial" w:cs="Arial" w:eastAsia="Arial" w:hAnsi="Arial"/>
                <w:b/>
                <w:bCs/>
                <w:sz w:val="18"/>
                <w:szCs w:val="18"/>
              </w:rPr>
              <w:t xml:space="preserve">IQVIA SmartSolve Account Team</w:t>
            </w:r>
          </w:p>
          <w:p>
            <w:pPr>
              <w:spacing w:after="0" w:before="0"/>
            </w:pPr>
            <w:r>
              <w:rPr>
                <w:rFonts w:ascii="Arial" w:cs="Arial" w:eastAsia="Arial" w:hAnsi="Arial"/>
                <w:sz w:val="18"/>
                <w:szCs w:val="18"/>
              </w:rPr>
              <w:t xml:space="preserve">IQVIA SmartSolve</w:t>
            </w:r>
          </w:p>
        </w:tc>
        <w:tc>
          <w:tcPr>
            <w:tcW w:type="dxa" w:w="4626"/>
            <w:tcBorders>
              <w:top w:val="single" w:color="E5E3DE" w:sz="1"/>
              <w:left w:val="single" w:color="E5E3DE" w:sz="1"/>
              <w:bottom w:val="single" w:color="E5E3DE" w:sz="1"/>
              <w:right w:val="single" w:color="E5E3DE" w:sz="1"/>
            </w:tcBorders>
            <w:shd w:fill="F4F3F0" w:val="clear"/>
            <w:tcMar>
              <w:top w:type="dxa" w:w="120"/>
              <w:left w:type="dxa" w:w="160"/>
              <w:bottom w:type="dxa" w:w="120"/>
              <w:right w:type="dxa" w:w="160"/>
            </w:tcMar>
            <w:vAlign w:val="top"/>
          </w:tcPr>
          <w:p>
            <w:pPr>
              <w:spacing w:after="40" w:before="0"/>
            </w:pPr>
            <w:r>
              <w:rPr>
                <w:rFonts w:ascii="Arial" w:cs="Arial" w:eastAsia="Arial" w:hAnsi="Arial"/>
                <w:b/>
                <w:bCs/>
                <w:color w:val="0C6E8C"/>
                <w:sz w:val="16"/>
                <w:szCs w:val="16"/>
              </w:rPr>
              <w:t xml:space="preserve">FROM (ISSUER):</w:t>
            </w:r>
          </w:p>
          <w:p>
            <w:pPr>
              <w:spacing w:after="20" w:before="0"/>
            </w:pPr>
            <w:r>
              <w:rPr>
                <w:rFonts w:ascii="Arial" w:cs="Arial" w:eastAsia="Arial" w:hAnsi="Arial"/>
                <w:b/>
                <w:bCs/>
                <w:sz w:val="18"/>
                <w:szCs w:val="18"/>
              </w:rPr>
              <w:t xml:space="preserve">Alberto Fumero</w:t>
            </w:r>
          </w:p>
          <w:p>
            <w:pPr>
              <w:spacing w:after="20" w:before="0"/>
            </w:pPr>
            <w:r>
              <w:rPr>
                <w:rFonts w:ascii="Arial" w:cs="Arial" w:eastAsia="Arial" w:hAnsi="Arial"/>
                <w:sz w:val="18"/>
                <w:szCs w:val="18"/>
              </w:rPr>
              <w:t xml:space="preserve">IT Application Manager — Global Quality Platform Project</w:t>
            </w:r>
          </w:p>
          <w:p>
            <w:pPr>
              <w:spacing w:after="0" w:before="0"/>
            </w:pPr>
            <w:r>
              <w:rPr>
                <w:rFonts w:ascii="Arial" w:cs="Arial" w:eastAsia="Arial" w:hAnsi="Arial"/>
                <w:color w:val="0C6E8C"/>
                <w:sz w:val="18"/>
                <w:szCs w:val="18"/>
              </w:rPr>
              <w:t xml:space="preserve">a.fumero@pharma.com</w:t>
            </w:r>
          </w:p>
        </w:tc>
      </w:tr>
    </w:tbl>
    <w:p>
      <w:pPr>
        <w:spacing w:after="12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1. Executive Summary</w:t>
      </w:r>
    </w:p>
    <w:p>
      <w:pPr>
        <w:spacing w:after="80" w:before="40"/>
        <w:jc w:val="both"/>
      </w:pPr>
      <w:r>
        <w:rPr>
          <w:rFonts w:ascii="Arial" w:cs="Arial" w:eastAsia="Arial" w:hAnsi="Arial"/>
          <w:b w:val="false"/>
          <w:bCs w:val="false"/>
          <w:sz w:val="18"/>
          <w:szCs w:val="18"/>
        </w:rPr>
        <w:t xml:space="preserve">This document constitutes the formal test charter issued to </w:t>
      </w:r>
      <w:r>
        <w:rPr>
          <w:rFonts w:ascii="Arial" w:cs="Arial" w:eastAsia="Arial" w:hAnsi="Arial"/>
          <w:b/>
          <w:bCs/>
          <w:sz w:val="18"/>
          <w:szCs w:val="18"/>
        </w:rPr>
        <w:t xml:space="preserve">IQVIA SmartSolve</w:t>
      </w:r>
      <w:r>
        <w:rPr>
          <w:rFonts w:ascii="Arial" w:cs="Arial" w:eastAsia="Arial" w:hAnsi="Arial"/>
          <w:b w:val="false"/>
          <w:bCs w:val="false"/>
          <w:sz w:val="18"/>
          <w:szCs w:val="18"/>
        </w:rPr>
        <w:t xml:space="preserve"> in the context of the </w:t>
      </w:r>
      <w:r>
        <w:rPr>
          <w:rFonts w:ascii="Arial" w:cs="Arial" w:eastAsia="Arial" w:hAnsi="Arial"/>
          <w:b/>
          <w:bCs/>
          <w:sz w:val="18"/>
          <w:szCs w:val="18"/>
        </w:rPr>
        <w:t xml:space="preserve">Global Quality Platform Performance Evaluation</w:t>
      </w:r>
      <w:r>
        <w:rPr>
          <w:rFonts w:ascii="Arial" w:cs="Arial" w:eastAsia="Arial" w:hAnsi="Arial"/>
          <w:b w:val="false"/>
          <w:bCs w:val="false"/>
          <w:sz w:val="18"/>
          <w:szCs w:val="18"/>
        </w:rPr>
        <w:t xml:space="preserve"> conducted by our organisation during May 2025. The purpose of this evaluation is to objectively compare the performance of IQVIA SmartSolve against the competing platform under standardised, globally consistent conditions.</w:t>
      </w:r>
    </w:p>
    <w:p>
      <w:pPr>
        <w:spacing w:after="80" w:before="40"/>
        <w:jc w:val="both"/>
      </w:pPr>
      <w:r>
        <w:rPr>
          <w:rFonts w:ascii="Arial" w:cs="Arial" w:eastAsia="Arial" w:hAnsi="Arial"/>
          <w:b w:val="false"/>
          <w:bCs w:val="false"/>
          <w:sz w:val="18"/>
          <w:szCs w:val="18"/>
        </w:rPr>
        <w:t xml:space="preserve">Results will directly inform a procurement decision covering our global QMS. The selected platform will support approximately </w:t>
      </w:r>
      <w:r>
        <w:rPr>
          <w:rFonts w:ascii="Arial" w:cs="Arial" w:eastAsia="Arial" w:hAnsi="Arial"/>
          <w:b/>
          <w:bCs/>
          <w:sz w:val="18"/>
          <w:szCs w:val="18"/>
        </w:rPr>
        <w:t xml:space="preserve">125,000 complaints per year</w:t>
      </w:r>
      <w:r>
        <w:rPr>
          <w:rFonts w:ascii="Arial" w:cs="Arial" w:eastAsia="Arial" w:hAnsi="Arial"/>
          <w:b w:val="false"/>
          <w:bCs w:val="false"/>
          <w:sz w:val="18"/>
          <w:szCs w:val="18"/>
        </w:rPr>
        <w:t xml:space="preserve">, </w:t>
      </w:r>
      <w:r>
        <w:rPr>
          <w:rFonts w:ascii="Arial" w:cs="Arial" w:eastAsia="Arial" w:hAnsi="Arial"/>
          <w:b/>
          <w:bCs/>
          <w:sz w:val="18"/>
          <w:szCs w:val="18"/>
        </w:rPr>
        <w:t xml:space="preserve">5,000+ concurrent users</w:t>
      </w:r>
      <w:r>
        <w:rPr>
          <w:rFonts w:ascii="Arial" w:cs="Arial" w:eastAsia="Arial" w:hAnsi="Arial"/>
          <w:b w:val="false"/>
          <w:bCs w:val="false"/>
          <w:sz w:val="18"/>
          <w:szCs w:val="18"/>
        </w:rPr>
        <w:t xml:space="preserve">, and </w:t>
      </w:r>
      <w:r>
        <w:rPr>
          <w:rFonts w:ascii="Arial" w:cs="Arial" w:eastAsia="Arial" w:hAnsi="Arial"/>
          <w:b/>
          <w:bCs/>
          <w:sz w:val="18"/>
          <w:szCs w:val="18"/>
        </w:rPr>
        <w:t xml:space="preserve">24×7 global availability</w:t>
      </w:r>
      <w:r>
        <w:rPr>
          <w:rFonts w:ascii="Arial" w:cs="Arial" w:eastAsia="Arial" w:hAnsi="Arial"/>
          <w:b w:val="false"/>
          <w:bCs w:val="false"/>
          <w:sz w:val="18"/>
          <w:szCs w:val="18"/>
        </w:rPr>
        <w:t xml:space="preserve"> across 5 regions and 17 countries. The evaluation is conducted under GxP principles (21 CFR Part 11, EU Annex 11, GDPR).</w:t>
      </w:r>
    </w:p>
    <w:p>
      <w:pPr>
        <w:spacing w:after="12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2. Test Objectives</w:t>
      </w:r>
    </w:p>
    <w:p>
      <w:pPr>
        <w:pStyle w:val="ListParagraph"/>
        <w:numPr>
          <w:ilvl w:val="0"/>
          <w:numId w:val="2"/>
        </w:numPr>
        <w:spacing w:after="40" w:before="20"/>
      </w:pPr>
      <w:r>
        <w:rPr>
          <w:rFonts w:ascii="Arial" w:cs="Arial" w:eastAsia="Arial" w:hAnsi="Arial"/>
          <w:sz w:val="18"/>
          <w:szCs w:val="18"/>
        </w:rPr>
        <w:t xml:space="preserve">Measure real-world upload and download response times on the IQVIA SmartSolve sandbox environment from each global region.</w:t>
      </w:r>
    </w:p>
    <w:p>
      <w:pPr>
        <w:pStyle w:val="ListParagraph"/>
        <w:numPr>
          <w:ilvl w:val="0"/>
          <w:numId w:val="2"/>
        </w:numPr>
        <w:spacing w:after="40" w:before="20"/>
      </w:pPr>
      <w:r>
        <w:rPr>
          <w:rFonts w:ascii="Arial" w:cs="Arial" w:eastAsia="Arial" w:hAnsi="Arial"/>
          <w:sz w:val="18"/>
          <w:szCs w:val="18"/>
        </w:rPr>
        <w:t xml:space="preserve">Validate that performance meets the contractually agreed KPI thresholds under realistic network conditions.</w:t>
      </w:r>
    </w:p>
    <w:p>
      <w:pPr>
        <w:pStyle w:val="ListParagraph"/>
        <w:numPr>
          <w:ilvl w:val="0"/>
          <w:numId w:val="2"/>
        </w:numPr>
        <w:spacing w:after="40" w:before="20"/>
      </w:pPr>
      <w:r>
        <w:rPr>
          <w:rFonts w:ascii="Arial" w:cs="Arial" w:eastAsia="Arial" w:hAnsi="Arial"/>
          <w:sz w:val="18"/>
          <w:szCs w:val="18"/>
        </w:rPr>
        <w:t xml:space="preserve">Identify any geographic zones where performance is degraded or inconsistent.</w:t>
      </w:r>
    </w:p>
    <w:p>
      <w:pPr>
        <w:pStyle w:val="ListParagraph"/>
        <w:numPr>
          <w:ilvl w:val="0"/>
          <w:numId w:val="2"/>
        </w:numPr>
        <w:spacing w:after="40" w:before="20"/>
      </w:pPr>
      <w:r>
        <w:rPr>
          <w:rFonts w:ascii="Arial" w:cs="Arial" w:eastAsia="Arial" w:hAnsi="Arial"/>
          <w:sz w:val="18"/>
          <w:szCs w:val="18"/>
        </w:rPr>
        <w:t xml:space="preserve">Provide objective, auditable evidence to support the platform selection committee.</w:t>
      </w:r>
    </w:p>
    <w:p>
      <w:pPr>
        <w:pStyle w:val="ListParagraph"/>
        <w:numPr>
          <w:ilvl w:val="0"/>
          <w:numId w:val="2"/>
        </w:numPr>
        <w:spacing w:after="40" w:before="20"/>
      </w:pPr>
      <w:r>
        <w:rPr>
          <w:rFonts w:ascii="Arial" w:cs="Arial" w:eastAsia="Arial" w:hAnsi="Arial"/>
          <w:sz w:val="18"/>
          <w:szCs w:val="18"/>
        </w:rPr>
        <w:t xml:space="preserve">Establish a baseline benchmark enabling future SLA monitoring post go-live.</w:t>
      </w:r>
    </w:p>
    <w:p>
      <w:pPr>
        <w:spacing w:after="12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3. Test Scope</w:t>
      </w:r>
    </w:p>
    <w:p>
      <w:pPr>
        <w:spacing w:after="60" w:before="180"/>
      </w:pPr>
      <w:r>
        <w:rPr>
          <w:rFonts w:ascii="Arial" w:cs="Arial" w:eastAsia="Arial" w:hAnsi="Arial"/>
          <w:b/>
          <w:bCs/>
          <w:color w:val="0C6E8C"/>
          <w:sz w:val="20"/>
          <w:szCs w:val="20"/>
        </w:rPr>
        <w:t xml:space="preserve">3.1 In Scope</w:t>
      </w:r>
    </w:p>
    <w:p>
      <w:pPr>
        <w:pStyle w:val="ListParagraph"/>
        <w:numPr>
          <w:ilvl w:val="0"/>
          <w:numId w:val="2"/>
        </w:numPr>
        <w:spacing w:after="40" w:before="20"/>
      </w:pPr>
      <w:r>
        <w:rPr>
          <w:rFonts w:ascii="Arial" w:cs="Arial" w:eastAsia="Arial" w:hAnsi="Arial"/>
          <w:sz w:val="18"/>
          <w:szCs w:val="18"/>
        </w:rPr>
        <w:t xml:space="preserve">IQVIA SmartSolve sandbox / UAT environment (URL to be confirmed by vendor)</w:t>
      </w:r>
    </w:p>
    <w:p>
      <w:pPr>
        <w:pStyle w:val="ListParagraph"/>
        <w:numPr>
          <w:ilvl w:val="0"/>
          <w:numId w:val="2"/>
        </w:numPr>
        <w:spacing w:after="40" w:before="20"/>
      </w:pPr>
      <w:r>
        <w:rPr>
          <w:rFonts w:ascii="Arial" w:cs="Arial" w:eastAsia="Arial" w:hAnsi="Arial"/>
          <w:sz w:val="18"/>
          <w:szCs w:val="18"/>
        </w:rPr>
        <w:t xml:space="preserve">File upload operations: 1 MB, 10 MB, 100 MB test files</w:t>
      </w:r>
    </w:p>
    <w:p>
      <w:pPr>
        <w:pStyle w:val="ListParagraph"/>
        <w:numPr>
          <w:ilvl w:val="0"/>
          <w:numId w:val="2"/>
        </w:numPr>
        <w:spacing w:after="40" w:before="20"/>
      </w:pPr>
      <w:r>
        <w:rPr>
          <w:rFonts w:ascii="Arial" w:cs="Arial" w:eastAsia="Arial" w:hAnsi="Arial"/>
          <w:sz w:val="18"/>
          <w:szCs w:val="18"/>
        </w:rPr>
        <w:t xml:space="preserve">File download operations: same 3 file sizes</w:t>
      </w:r>
    </w:p>
    <w:p>
      <w:pPr>
        <w:pStyle w:val="ListParagraph"/>
        <w:numPr>
          <w:ilvl w:val="0"/>
          <w:numId w:val="2"/>
        </w:numPr>
        <w:spacing w:after="40" w:before="20"/>
      </w:pPr>
      <w:r>
        <w:rPr>
          <w:rFonts w:ascii="Arial" w:cs="Arial" w:eastAsia="Arial" w:hAnsi="Arial"/>
          <w:sz w:val="18"/>
          <w:szCs w:val="18"/>
        </w:rPr>
        <w:t xml:space="preserve">All 5 global regions: Europe, North America, LATAM, APAC, Middle East / Africa</w:t>
      </w:r>
    </w:p>
    <w:p>
      <w:pPr>
        <w:pStyle w:val="ListParagraph"/>
        <w:numPr>
          <w:ilvl w:val="0"/>
          <w:numId w:val="2"/>
        </w:numPr>
        <w:spacing w:after="40" w:before="20"/>
      </w:pPr>
      <w:r>
        <w:rPr>
          <w:rFonts w:ascii="Arial" w:cs="Arial" w:eastAsia="Arial" w:hAnsi="Arial"/>
          <w:sz w:val="18"/>
          <w:szCs w:val="18"/>
        </w:rPr>
        <w:t xml:space="preserve">Network types: Corporate LAN, Corporate WiFi, VPN</w:t>
      </w:r>
    </w:p>
    <w:p>
      <w:pPr>
        <w:pStyle w:val="ListParagraph"/>
        <w:numPr>
          <w:ilvl w:val="0"/>
          <w:numId w:val="2"/>
        </w:numPr>
        <w:spacing w:after="40" w:before="20"/>
      </w:pPr>
      <w:r>
        <w:rPr>
          <w:rFonts w:ascii="Arial" w:cs="Arial" w:eastAsia="Arial" w:hAnsi="Arial"/>
          <w:sz w:val="18"/>
          <w:szCs w:val="18"/>
        </w:rPr>
        <w:t xml:space="preserve">Measurement KPIs: file transfer time upload &amp; download, 2 decimal places in seconds</w:t>
      </w:r>
    </w:p>
    <w:p>
      <w:pPr>
        <w:pStyle w:val="ListParagraph"/>
        <w:numPr>
          <w:ilvl w:val="0"/>
          <w:numId w:val="2"/>
        </w:numPr>
        <w:spacing w:after="40" w:before="20"/>
      </w:pPr>
      <w:r>
        <w:rPr>
          <w:rFonts w:ascii="Arial" w:cs="Arial" w:eastAsia="Arial" w:hAnsi="Arial"/>
          <w:sz w:val="18"/>
          <w:szCs w:val="18"/>
        </w:rPr>
        <w:t xml:space="preserve">3 repetitions per file size per direction to calculate average and detect variability</w:t>
      </w:r>
    </w:p>
    <w:p>
      <w:pPr>
        <w:spacing w:after="60" w:before="180"/>
      </w:pPr>
      <w:r>
        <w:rPr>
          <w:rFonts w:ascii="Arial" w:cs="Arial" w:eastAsia="Arial" w:hAnsi="Arial"/>
          <w:b/>
          <w:bCs/>
          <w:color w:val="0C6E8C"/>
          <w:sz w:val="20"/>
          <w:szCs w:val="20"/>
        </w:rPr>
        <w:t xml:space="preserve">3.2 Out of Scope</w:t>
      </w:r>
    </w:p>
    <w:p>
      <w:pPr>
        <w:pStyle w:val="ListParagraph"/>
        <w:numPr>
          <w:ilvl w:val="0"/>
          <w:numId w:val="2"/>
        </w:numPr>
        <w:spacing w:after="40" w:before="20"/>
      </w:pPr>
      <w:r>
        <w:rPr>
          <w:rFonts w:ascii="Arial" w:cs="Arial" w:eastAsia="Arial" w:hAnsi="Arial"/>
          <w:sz w:val="18"/>
          <w:szCs w:val="18"/>
        </w:rPr>
        <w:t xml:space="preserve">Production environment — testing is sandbox only</w:t>
      </w:r>
    </w:p>
    <w:p>
      <w:pPr>
        <w:pStyle w:val="ListParagraph"/>
        <w:numPr>
          <w:ilvl w:val="0"/>
          <w:numId w:val="2"/>
        </w:numPr>
        <w:spacing w:after="40" w:before="20"/>
      </w:pPr>
      <w:r>
        <w:rPr>
          <w:rFonts w:ascii="Arial" w:cs="Arial" w:eastAsia="Arial" w:hAnsi="Arial"/>
          <w:sz w:val="18"/>
          <w:szCs w:val="18"/>
        </w:rPr>
        <w:t xml:space="preserve">Load / stress testing (concurrent user simulation)</w:t>
      </w:r>
    </w:p>
    <w:p>
      <w:pPr>
        <w:pStyle w:val="ListParagraph"/>
        <w:numPr>
          <w:ilvl w:val="0"/>
          <w:numId w:val="2"/>
        </w:numPr>
        <w:spacing w:after="40" w:before="20"/>
      </w:pPr>
      <w:r>
        <w:rPr>
          <w:rFonts w:ascii="Arial" w:cs="Arial" w:eastAsia="Arial" w:hAnsi="Arial"/>
          <w:sz w:val="18"/>
          <w:szCs w:val="18"/>
        </w:rPr>
        <w:t xml:space="preserve">Security penetration testing</w:t>
      </w:r>
    </w:p>
    <w:p>
      <w:pPr>
        <w:pStyle w:val="ListParagraph"/>
        <w:numPr>
          <w:ilvl w:val="0"/>
          <w:numId w:val="2"/>
        </w:numPr>
        <w:spacing w:after="40" w:before="20"/>
      </w:pPr>
      <w:r>
        <w:rPr>
          <w:rFonts w:ascii="Arial" w:cs="Arial" w:eastAsia="Arial" w:hAnsi="Arial"/>
          <w:sz w:val="18"/>
          <w:szCs w:val="18"/>
        </w:rPr>
        <w:t xml:space="preserve">API performance or backend infrastructure assessment</w:t>
      </w:r>
    </w:p>
    <w:p>
      <w:pPr>
        <w:pStyle w:val="ListParagraph"/>
        <w:numPr>
          <w:ilvl w:val="0"/>
          <w:numId w:val="2"/>
        </w:numPr>
        <w:spacing w:after="40" w:before="20"/>
      </w:pPr>
      <w:r>
        <w:rPr>
          <w:rFonts w:ascii="Arial" w:cs="Arial" w:eastAsia="Arial" w:hAnsi="Arial"/>
          <w:sz w:val="18"/>
          <w:szCs w:val="18"/>
        </w:rPr>
        <w:t xml:space="preserve">Workflow logic, data integrity, or QMS functional requirements validation</w:t>
      </w:r>
    </w:p>
    <w:p>
      <w:pPr>
        <w:spacing w:after="12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4. Test Methodology</w:t>
      </w:r>
    </w:p>
    <w:p>
      <w:pPr>
        <w:spacing w:after="60" w:before="180"/>
      </w:pPr>
      <w:r>
        <w:rPr>
          <w:rFonts w:ascii="Arial" w:cs="Arial" w:eastAsia="Arial" w:hAnsi="Arial"/>
          <w:b/>
          <w:bCs/>
          <w:color w:val="0C6E8C"/>
          <w:sz w:val="20"/>
          <w:szCs w:val="20"/>
        </w:rPr>
        <w:t xml:space="preserve">4.1 Test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726"/>
        <w:gridCol w:w="3000"/>
      </w:tblGrid>
      <w:tr>
        <w:tc>
          <w:tcPr>
            <w:tcW w:type="dxa" w:w="22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File</w:t>
            </w:r>
          </w:p>
        </w:tc>
        <w:tc>
          <w:tcPr>
            <w:tcW w:type="dxa" w:w="11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Size</w:t>
            </w:r>
          </w:p>
        </w:tc>
        <w:tc>
          <w:tcPr>
            <w:tcW w:type="dxa" w:w="2726"/>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Represents</w:t>
            </w:r>
          </w:p>
        </w:tc>
        <w:tc>
          <w:tcPr>
            <w:tcW w:type="dxa" w:w="30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SHA-256 (first 32 chars)</w:t>
            </w:r>
          </w:p>
        </w:tc>
      </w:tr>
      <w:tr>
        <w:tc>
          <w:tcPr>
            <w:tcW w:type="dxa" w:w="2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test_file_1MB.bin</w:t>
            </w:r>
          </w:p>
        </w:tc>
        <w:tc>
          <w:tcPr>
            <w:tcW w:type="dxa" w:w="11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1 MB</w:t>
            </w:r>
          </w:p>
        </w:tc>
        <w:tc>
          <w:tcPr>
            <w:tcW w:type="dxa" w:w="27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Typical complaint record</w:t>
            </w:r>
          </w:p>
        </w:tc>
        <w:tc>
          <w:tcPr>
            <w:tcW w:type="dxa" w:w="30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iCs/>
                <w:color w:val="5F5E5A"/>
                <w:sz w:val="18"/>
                <w:szCs w:val="18"/>
              </w:rPr>
              <w:t xml:space="preserve">5f07e472b543ac22476e153c...</w:t>
            </w:r>
          </w:p>
        </w:tc>
      </w:tr>
      <w:tr>
        <w:tc>
          <w:tcPr>
            <w:tcW w:type="dxa" w:w="22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test_file_10MB.bin</w:t>
            </w:r>
          </w:p>
        </w:tc>
        <w:tc>
          <w:tcPr>
            <w:tcW w:type="dxa" w:w="11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10 MB</w:t>
            </w:r>
          </w:p>
        </w:tc>
        <w:tc>
          <w:tcPr>
            <w:tcW w:type="dxa" w:w="2726"/>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Document with PDF attachments</w:t>
            </w:r>
          </w:p>
        </w:tc>
        <w:tc>
          <w:tcPr>
            <w:tcW w:type="dxa" w:w="30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val="false"/>
                <w:bCs w:val="false"/>
                <w:i/>
                <w:iCs/>
                <w:color w:val="5F5E5A"/>
                <w:sz w:val="18"/>
                <w:szCs w:val="18"/>
              </w:rPr>
              <w:t xml:space="preserve">171a60676d132449c0330a5a...</w:t>
            </w:r>
          </w:p>
        </w:tc>
      </w:tr>
      <w:tr>
        <w:tc>
          <w:tcPr>
            <w:tcW w:type="dxa" w:w="2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test_file_100MB.bin</w:t>
            </w:r>
          </w:p>
        </w:tc>
        <w:tc>
          <w:tcPr>
            <w:tcW w:type="dxa" w:w="11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100 MB</w:t>
            </w:r>
          </w:p>
        </w:tc>
        <w:tc>
          <w:tcPr>
            <w:tcW w:type="dxa" w:w="27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Batch migration / large export</w:t>
            </w:r>
          </w:p>
        </w:tc>
        <w:tc>
          <w:tcPr>
            <w:tcW w:type="dxa" w:w="30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iCs/>
                <w:color w:val="5F5E5A"/>
                <w:sz w:val="18"/>
                <w:szCs w:val="18"/>
              </w:rPr>
              <w:t xml:space="preserve">6d9daf52b380e3f4e4137744...</w:t>
            </w:r>
          </w:p>
        </w:tc>
      </w:tr>
    </w:tbl>
    <w:p>
      <w:pPr>
        <w:spacing w:after="120" w:before="0"/>
      </w:pPr>
      <w:r>
        <w:t xml:space="preserve"/>
      </w:r>
    </w:p>
    <w:p>
      <w:pPr>
        <w:spacing w:after="60" w:before="180"/>
      </w:pPr>
      <w:r>
        <w:rPr>
          <w:rFonts w:ascii="Arial" w:cs="Arial" w:eastAsia="Arial" w:hAnsi="Arial"/>
          <w:b/>
          <w:bCs/>
          <w:color w:val="0C6E8C"/>
          <w:sz w:val="20"/>
          <w:szCs w:val="20"/>
        </w:rPr>
        <w:t xml:space="preserve">4.2 Test Execution Approach</w:t>
      </w:r>
    </w:p>
    <w:p>
      <w:pPr>
        <w:spacing w:after="80" w:before="40"/>
        <w:jc w:val="both"/>
      </w:pPr>
      <w:r>
        <w:rPr>
          <w:rFonts w:ascii="Arial" w:cs="Arial" w:eastAsia="Arial" w:hAnsi="Arial"/>
          <w:b w:val="false"/>
          <w:bCs w:val="false"/>
          <w:sz w:val="18"/>
          <w:szCs w:val="18"/>
        </w:rPr>
        <w:t xml:space="preserve">One designated regional coordinator per region accesses the IQVIA SmartSolve sandbox from their standard corporate workstation. The coordinator uses the QMA Performance Test App (Microsoft Teams / SharePoint) to:</w:t>
      </w:r>
    </w:p>
    <w:p>
      <w:pPr>
        <w:pStyle w:val="ListParagraph"/>
        <w:numPr>
          <w:ilvl w:val="0"/>
          <w:numId w:val="2"/>
        </w:numPr>
        <w:spacing w:after="40" w:before="20"/>
      </w:pPr>
      <w:r>
        <w:rPr>
          <w:rFonts w:ascii="Arial" w:cs="Arial" w:eastAsia="Arial" w:hAnsi="Arial"/>
          <w:sz w:val="18"/>
          <w:szCs w:val="18"/>
        </w:rPr>
        <w:t xml:space="preserve">Manually upload each test file to the IQVIA SmartSolve sandbox using the standard file upload interface</w:t>
      </w:r>
    </w:p>
    <w:p>
      <w:pPr>
        <w:pStyle w:val="ListParagraph"/>
        <w:numPr>
          <w:ilvl w:val="0"/>
          <w:numId w:val="2"/>
        </w:numPr>
        <w:spacing w:after="40" w:before="20"/>
      </w:pPr>
      <w:r>
        <w:rPr>
          <w:rFonts w:ascii="Arial" w:cs="Arial" w:eastAsia="Arial" w:hAnsi="Arial"/>
          <w:sz w:val="18"/>
          <w:szCs w:val="18"/>
        </w:rPr>
        <w:t xml:space="preserve">Measure elapsed time using the app's built-in stopwatch: from click of Upload to platform confirmation</w:t>
      </w:r>
    </w:p>
    <w:p>
      <w:pPr>
        <w:pStyle w:val="ListParagraph"/>
        <w:numPr>
          <w:ilvl w:val="0"/>
          <w:numId w:val="2"/>
        </w:numPr>
        <w:spacing w:after="40" w:before="20"/>
      </w:pPr>
      <w:r>
        <w:rPr>
          <w:rFonts w:ascii="Arial" w:cs="Arial" w:eastAsia="Arial" w:hAnsi="Arial"/>
          <w:sz w:val="18"/>
          <w:szCs w:val="18"/>
        </w:rPr>
        <w:t xml:space="preserve">Download the same file immediately and measure download elapsed time</w:t>
      </w:r>
    </w:p>
    <w:p>
      <w:pPr>
        <w:pStyle w:val="ListParagraph"/>
        <w:numPr>
          <w:ilvl w:val="0"/>
          <w:numId w:val="2"/>
        </w:numPr>
        <w:spacing w:after="40" w:before="20"/>
      </w:pPr>
      <w:r>
        <w:rPr>
          <w:rFonts w:ascii="Arial" w:cs="Arial" w:eastAsia="Arial" w:hAnsi="Arial"/>
          <w:sz w:val="18"/>
          <w:szCs w:val="18"/>
        </w:rPr>
        <w:t xml:space="preserve">Repeat each measurement 3 times to calculate average and detect variability</w:t>
      </w:r>
    </w:p>
    <w:p>
      <w:pPr>
        <w:pStyle w:val="ListParagraph"/>
        <w:numPr>
          <w:ilvl w:val="0"/>
          <w:numId w:val="2"/>
        </w:numPr>
        <w:spacing w:after="40" w:before="20"/>
      </w:pPr>
      <w:r>
        <w:rPr>
          <w:rFonts w:ascii="Arial" w:cs="Arial" w:eastAsia="Arial" w:hAnsi="Arial"/>
          <w:sz w:val="18"/>
          <w:szCs w:val="18"/>
        </w:rPr>
        <w:t xml:space="preserve">Record all results, errors, and observations in the app in real time</w:t>
      </w:r>
    </w:p>
    <w:p>
      <w:pPr>
        <w:pStyle w:val="ListParagraph"/>
        <w:numPr>
          <w:ilvl w:val="0"/>
          <w:numId w:val="2"/>
        </w:numPr>
        <w:spacing w:after="40" w:before="20"/>
      </w:pPr>
      <w:r>
        <w:rPr>
          <w:rFonts w:ascii="Arial" w:cs="Arial" w:eastAsia="Arial" w:hAnsi="Arial"/>
          <w:sz w:val="18"/>
          <w:szCs w:val="18"/>
        </w:rPr>
        <w:t xml:space="preserve">Upload screenshot evidence of each test session to SharePoint</w:t>
      </w:r>
    </w:p>
    <w:p>
      <w:pPr>
        <w:spacing w:after="60" w:before="180"/>
      </w:pPr>
      <w:r>
        <w:rPr>
          <w:rFonts w:ascii="Arial" w:cs="Arial" w:eastAsia="Arial" w:hAnsi="Arial"/>
          <w:b/>
          <w:bCs/>
          <w:color w:val="0C6E8C"/>
          <w:sz w:val="20"/>
          <w:szCs w:val="20"/>
        </w:rPr>
        <w:t xml:space="preserve">4.3 Test Window &amp; Scheduling</w:t>
      </w:r>
    </w:p>
    <w:p>
      <w:pPr>
        <w:spacing w:after="80" w:before="40"/>
        <w:jc w:val="both"/>
      </w:pPr>
      <w:r>
        <w:rPr>
          <w:rFonts w:ascii="Arial" w:cs="Arial" w:eastAsia="Arial" w:hAnsi="Arial"/>
          <w:sz w:val="18"/>
          <w:szCs w:val="18"/>
        </w:rPr>
        <w:t xml:space="preserve">Tests are executed during a coordinated 3-day global test window. Each region is assigned a 2-hour execution slot communicated at least 2 weeks in advance via the project Teams channel.</w:t>
      </w:r>
    </w:p>
    <w:p>
      <w:pPr>
        <w:spacing w:after="80" w:before="40"/>
        <w:ind w:left="360"/>
      </w:pPr>
      <w:r>
        <w:rPr>
          <w:rFonts w:ascii="Arial" w:cs="Arial" w:eastAsia="Arial" w:hAnsi="Arial"/>
          <w:i/>
          <w:iCs/>
          <w:color w:val="8A4F0A"/>
          <w:sz w:val="16"/>
          <w:szCs w:val="16"/>
        </w:rPr>
        <w:t xml:space="preserve">⚠ IQVIA SmartSolve sandbox must remain fully available and unmodified throughout the entire test window. No maintenance, upgrades, or configuration changes may be applied without prior written agreement.</w:t>
      </w:r>
    </w:p>
    <w:p>
      <w:pPr>
        <w:spacing w:after="120" w:before="0"/>
      </w:pPr>
      <w:r>
        <w:t xml:space="preserve"/>
      </w:r>
    </w:p>
    <w:p>
      <w:r>
        <w:br w:type="page"/>
      </w:r>
    </w:p>
    <w:p>
      <w:pPr>
        <w:pBdr>
          <w:bottom w:val="single" w:color="E5E3DE" w:sz="4" w:space="4"/>
        </w:pBdr>
        <w:spacing w:after="80" w:before="280"/>
      </w:pPr>
      <w:r>
        <w:rPr>
          <w:rFonts w:ascii="Arial" w:cs="Arial" w:eastAsia="Arial" w:hAnsi="Arial"/>
          <w:b/>
          <w:bCs/>
          <w:color w:val="1A3A6B"/>
          <w:sz w:val="26"/>
          <w:szCs w:val="26"/>
        </w:rPr>
        <w:t xml:space="preserve">5. Acceptance Criteria</w:t>
      </w:r>
    </w:p>
    <w:p>
      <w:pPr>
        <w:spacing w:after="80" w:before="40"/>
        <w:jc w:val="both"/>
      </w:pPr>
      <w:r>
        <w:rPr>
          <w:rFonts w:ascii="Arial" w:cs="Arial" w:eastAsia="Arial" w:hAnsi="Arial"/>
          <w:sz w:val="18"/>
          <w:szCs w:val="18"/>
        </w:rPr>
        <w:t xml:space="preserve">The following KPI thresholds have been agreed by the QA Lead, IT Application Manager, and both vendors prior to test execution.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300"/>
        <w:gridCol w:w="1626"/>
        <w:gridCol w:w="1700"/>
        <w:gridCol w:w="2400"/>
      </w:tblGrid>
      <w:tr>
        <w:tc>
          <w:tcPr>
            <w:tcW w:type="dxa" w:w="9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File Size</w:t>
            </w:r>
          </w:p>
        </w:tc>
        <w:tc>
          <w:tcPr>
            <w:tcW w:type="dxa" w:w="11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Operation</w:t>
            </w:r>
          </w:p>
        </w:tc>
        <w:tc>
          <w:tcPr>
            <w:tcW w:type="dxa" w:w="13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Target
(PASS)</w:t>
            </w:r>
          </w:p>
        </w:tc>
        <w:tc>
          <w:tcPr>
            <w:tcW w:type="dxa" w:w="1626"/>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Acceptable Max
(MARGINAL)</w:t>
            </w:r>
          </w:p>
        </w:tc>
        <w:tc>
          <w:tcPr>
            <w:tcW w:type="dxa" w:w="17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Failure
(FAIL)</w:t>
            </w:r>
          </w:p>
        </w:tc>
        <w:tc>
          <w:tcPr>
            <w:tcW w:type="dxa" w:w="24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Action on Failure</w:t>
            </w:r>
          </w:p>
        </w:tc>
      </w:tr>
      <w:tr>
        <w:tc>
          <w:tcPr>
            <w:tcW w:type="dxa" w:w="9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18"/>
                <w:szCs w:val="18"/>
              </w:rPr>
              <w:t xml:space="preserve">1 MB</w:t>
            </w:r>
          </w:p>
        </w:tc>
        <w:tc>
          <w:tcPr>
            <w:tcW w:type="dxa" w:w="11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Upload</w:t>
            </w:r>
          </w:p>
        </w:tc>
        <w:tc>
          <w:tcPr>
            <w:tcW w:type="dxa" w:w="13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bCs/>
                <w:i w:val="false"/>
                <w:iCs w:val="false"/>
                <w:color w:val="1E6B3E"/>
                <w:sz w:val="18"/>
                <w:szCs w:val="18"/>
              </w:rPr>
              <w:t xml:space="preserve">&lt; 3 s</w:t>
            </w:r>
          </w:p>
        </w:tc>
        <w:tc>
          <w:tcPr>
            <w:tcW w:type="dxa" w:w="16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3 – 5 s</w:t>
            </w:r>
          </w:p>
        </w:tc>
        <w:tc>
          <w:tcPr>
            <w:tcW w:type="dxa" w:w="17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bCs/>
                <w:i w:val="false"/>
                <w:iCs w:val="false"/>
                <w:color w:val="8B1D1D"/>
                <w:sz w:val="18"/>
                <w:szCs w:val="18"/>
              </w:rPr>
              <w:t xml:space="preserve">≥ 5 s</w:t>
            </w:r>
          </w:p>
        </w:tc>
        <w:tc>
          <w:tcPr>
            <w:tcW w:type="dxa" w:w="24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Re-test Attempt 1; Vendor RCA required</w:t>
            </w:r>
          </w:p>
        </w:tc>
      </w:tr>
      <w:tr>
        <w:tc>
          <w:tcPr>
            <w:tcW w:type="dxa" w:w="9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18"/>
                <w:szCs w:val="18"/>
              </w:rPr>
              <w:t xml:space="preserve">1 MB</w:t>
            </w:r>
          </w:p>
        </w:tc>
        <w:tc>
          <w:tcPr>
            <w:tcW w:type="dxa" w:w="11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Download</w:t>
            </w:r>
          </w:p>
        </w:tc>
        <w:tc>
          <w:tcPr>
            <w:tcW w:type="dxa" w:w="13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bCs/>
                <w:i w:val="false"/>
                <w:iCs w:val="false"/>
                <w:color w:val="1E6B3E"/>
                <w:sz w:val="18"/>
                <w:szCs w:val="18"/>
              </w:rPr>
              <w:t xml:space="preserve">&lt; 3 s</w:t>
            </w:r>
          </w:p>
        </w:tc>
        <w:tc>
          <w:tcPr>
            <w:tcW w:type="dxa" w:w="1626"/>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3 – 5 s</w:t>
            </w:r>
          </w:p>
        </w:tc>
        <w:tc>
          <w:tcPr>
            <w:tcW w:type="dxa" w:w="17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bCs/>
                <w:i w:val="false"/>
                <w:iCs w:val="false"/>
                <w:color w:val="8B1D1D"/>
                <w:sz w:val="18"/>
                <w:szCs w:val="18"/>
              </w:rPr>
              <w:t xml:space="preserve">≥ 5 s</w:t>
            </w:r>
          </w:p>
        </w:tc>
        <w:tc>
          <w:tcPr>
            <w:tcW w:type="dxa" w:w="24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Re-test Attempt 1; Vendor RCA required</w:t>
            </w:r>
          </w:p>
        </w:tc>
      </w:tr>
      <w:tr>
        <w:tc>
          <w:tcPr>
            <w:tcW w:type="dxa" w:w="9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18"/>
                <w:szCs w:val="18"/>
              </w:rPr>
              <w:t xml:space="preserve">10 MB</w:t>
            </w:r>
          </w:p>
        </w:tc>
        <w:tc>
          <w:tcPr>
            <w:tcW w:type="dxa" w:w="11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Upload</w:t>
            </w:r>
          </w:p>
        </w:tc>
        <w:tc>
          <w:tcPr>
            <w:tcW w:type="dxa" w:w="13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bCs/>
                <w:i w:val="false"/>
                <w:iCs w:val="false"/>
                <w:color w:val="1E6B3E"/>
                <w:sz w:val="18"/>
                <w:szCs w:val="18"/>
              </w:rPr>
              <w:t xml:space="preserve">&lt; 10 s</w:t>
            </w:r>
          </w:p>
        </w:tc>
        <w:tc>
          <w:tcPr>
            <w:tcW w:type="dxa" w:w="16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10 – 20 s</w:t>
            </w:r>
          </w:p>
        </w:tc>
        <w:tc>
          <w:tcPr>
            <w:tcW w:type="dxa" w:w="17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bCs/>
                <w:i w:val="false"/>
                <w:iCs w:val="false"/>
                <w:color w:val="8B1D1D"/>
                <w:sz w:val="18"/>
                <w:szCs w:val="18"/>
              </w:rPr>
              <w:t xml:space="preserve">≥ 20 s</w:t>
            </w:r>
          </w:p>
        </w:tc>
        <w:tc>
          <w:tcPr>
            <w:tcW w:type="dxa" w:w="24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Re-test Attempt 1; Vendor RCA required</w:t>
            </w:r>
          </w:p>
        </w:tc>
      </w:tr>
      <w:tr>
        <w:tc>
          <w:tcPr>
            <w:tcW w:type="dxa" w:w="9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18"/>
                <w:szCs w:val="18"/>
              </w:rPr>
              <w:t xml:space="preserve">10 MB</w:t>
            </w:r>
          </w:p>
        </w:tc>
        <w:tc>
          <w:tcPr>
            <w:tcW w:type="dxa" w:w="11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Download</w:t>
            </w:r>
          </w:p>
        </w:tc>
        <w:tc>
          <w:tcPr>
            <w:tcW w:type="dxa" w:w="13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bCs/>
                <w:i w:val="false"/>
                <w:iCs w:val="false"/>
                <w:color w:val="1E6B3E"/>
                <w:sz w:val="18"/>
                <w:szCs w:val="18"/>
              </w:rPr>
              <w:t xml:space="preserve">&lt; 10 s</w:t>
            </w:r>
          </w:p>
        </w:tc>
        <w:tc>
          <w:tcPr>
            <w:tcW w:type="dxa" w:w="1626"/>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10 – 20 s</w:t>
            </w:r>
          </w:p>
        </w:tc>
        <w:tc>
          <w:tcPr>
            <w:tcW w:type="dxa" w:w="17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bCs/>
                <w:i w:val="false"/>
                <w:iCs w:val="false"/>
                <w:color w:val="8B1D1D"/>
                <w:sz w:val="18"/>
                <w:szCs w:val="18"/>
              </w:rPr>
              <w:t xml:space="preserve">≥ 20 s</w:t>
            </w:r>
          </w:p>
        </w:tc>
        <w:tc>
          <w:tcPr>
            <w:tcW w:type="dxa" w:w="24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Re-test Attempt 1; Vendor RCA required</w:t>
            </w:r>
          </w:p>
        </w:tc>
      </w:tr>
      <w:tr>
        <w:tc>
          <w:tcPr>
            <w:tcW w:type="dxa" w:w="9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18"/>
                <w:szCs w:val="18"/>
              </w:rPr>
              <w:t xml:space="preserve">100 MB</w:t>
            </w:r>
          </w:p>
        </w:tc>
        <w:tc>
          <w:tcPr>
            <w:tcW w:type="dxa" w:w="11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Upload</w:t>
            </w:r>
          </w:p>
        </w:tc>
        <w:tc>
          <w:tcPr>
            <w:tcW w:type="dxa" w:w="13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bCs/>
                <w:i w:val="false"/>
                <w:iCs w:val="false"/>
                <w:color w:val="1E6B3E"/>
                <w:sz w:val="18"/>
                <w:szCs w:val="18"/>
              </w:rPr>
              <w:t xml:space="preserve">&lt; 60 s</w:t>
            </w:r>
          </w:p>
        </w:tc>
        <w:tc>
          <w:tcPr>
            <w:tcW w:type="dxa" w:w="16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60 – 90 s</w:t>
            </w:r>
          </w:p>
        </w:tc>
        <w:tc>
          <w:tcPr>
            <w:tcW w:type="dxa" w:w="17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bCs/>
                <w:i w:val="false"/>
                <w:iCs w:val="false"/>
                <w:color w:val="8B1D1D"/>
                <w:sz w:val="18"/>
                <w:szCs w:val="18"/>
              </w:rPr>
              <w:t xml:space="preserve">≥ 90 s</w:t>
            </w:r>
          </w:p>
        </w:tc>
        <w:tc>
          <w:tcPr>
            <w:tcW w:type="dxa" w:w="24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Attempt 1; Attempt 2 fail → Contract Exit Clause</w:t>
            </w:r>
          </w:p>
        </w:tc>
      </w:tr>
      <w:tr>
        <w:tc>
          <w:tcPr>
            <w:tcW w:type="dxa" w:w="9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18"/>
                <w:szCs w:val="18"/>
              </w:rPr>
              <w:t xml:space="preserve">100 MB</w:t>
            </w:r>
          </w:p>
        </w:tc>
        <w:tc>
          <w:tcPr>
            <w:tcW w:type="dxa" w:w="11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Download</w:t>
            </w:r>
          </w:p>
        </w:tc>
        <w:tc>
          <w:tcPr>
            <w:tcW w:type="dxa" w:w="13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bCs/>
                <w:i w:val="false"/>
                <w:iCs w:val="false"/>
                <w:color w:val="1E6B3E"/>
                <w:sz w:val="18"/>
                <w:szCs w:val="18"/>
              </w:rPr>
              <w:t xml:space="preserve">&lt; 60 s</w:t>
            </w:r>
          </w:p>
        </w:tc>
        <w:tc>
          <w:tcPr>
            <w:tcW w:type="dxa" w:w="1626"/>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60 – 90 s</w:t>
            </w:r>
          </w:p>
        </w:tc>
        <w:tc>
          <w:tcPr>
            <w:tcW w:type="dxa" w:w="17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center"/>
            </w:pPr>
            <w:r>
              <w:rPr>
                <w:rFonts w:ascii="Arial" w:cs="Arial" w:eastAsia="Arial" w:hAnsi="Arial"/>
                <w:b/>
                <w:bCs/>
                <w:i w:val="false"/>
                <w:iCs w:val="false"/>
                <w:color w:val="8B1D1D"/>
                <w:sz w:val="18"/>
                <w:szCs w:val="18"/>
              </w:rPr>
              <w:t xml:space="preserve">≥ 90 s</w:t>
            </w:r>
          </w:p>
        </w:tc>
        <w:tc>
          <w:tcPr>
            <w:tcW w:type="dxa" w:w="24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Attempt 1; Attempt 2 fail → Contract Exit Clause</w:t>
            </w:r>
          </w:p>
        </w:tc>
      </w:tr>
    </w:tbl>
    <w:p>
      <w:pPr>
        <w:spacing w:after="120" w:before="0"/>
      </w:pPr>
      <w:r>
        <w:t xml:space="preserve"/>
      </w:r>
    </w:p>
    <w:p>
      <w:pPr>
        <w:spacing w:after="80" w:before="40"/>
        <w:ind w:left="360"/>
      </w:pPr>
      <w:r>
        <w:rPr>
          <w:rFonts w:ascii="Arial" w:cs="Arial" w:eastAsia="Arial" w:hAnsi="Arial"/>
          <w:i/>
          <w:iCs/>
          <w:color w:val="8A4F0A"/>
          <w:sz w:val="16"/>
          <w:szCs w:val="16"/>
        </w:rPr>
        <w:t xml:space="preserve">⚠ Scale context: 125,000 complaints/year | 5,000+ concurrent users | 24×7 global availability | GxP-compliant (21 CFR Part 11, EU Annex 11, GDPR).</w:t>
      </w:r>
    </w:p>
    <w:p>
      <w:pPr>
        <w:spacing w:after="12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6. Vendor Obligations</w:t>
      </w:r>
    </w:p>
    <w:p>
      <w:pPr>
        <w:pStyle w:val="ListParagraph"/>
        <w:numPr>
          <w:ilvl w:val="0"/>
          <w:numId w:val="2"/>
        </w:numPr>
        <w:spacing w:after="40" w:before="20"/>
      </w:pPr>
      <w:r>
        <w:rPr>
          <w:rFonts w:ascii="Arial" w:cs="Arial" w:eastAsia="Arial" w:hAnsi="Arial"/>
          <w:sz w:val="18"/>
          <w:szCs w:val="18"/>
        </w:rPr>
        <w:t xml:space="preserve">Provide sandbox credentials and environment URL for IQVIA SmartSolve to all designated regional coordinators at least 5 business days before the test window.</w:t>
      </w:r>
    </w:p>
    <w:p>
      <w:pPr>
        <w:pStyle w:val="ListParagraph"/>
        <w:numPr>
          <w:ilvl w:val="0"/>
          <w:numId w:val="2"/>
        </w:numPr>
        <w:spacing w:after="40" w:before="20"/>
      </w:pPr>
      <w:r>
        <w:rPr>
          <w:rFonts w:ascii="Arial" w:cs="Arial" w:eastAsia="Arial" w:hAnsi="Arial"/>
          <w:sz w:val="18"/>
          <w:szCs w:val="18"/>
        </w:rPr>
        <w:t xml:space="preserve">Guarantee sandbox availability (99.9% uptime) throughout the entire test window. Unplanned downtime results in affected region tests being rescheduled at vendor cost.</w:t>
      </w:r>
    </w:p>
    <w:p>
      <w:pPr>
        <w:pStyle w:val="ListParagraph"/>
        <w:numPr>
          <w:ilvl w:val="0"/>
          <w:numId w:val="2"/>
        </w:numPr>
        <w:spacing w:after="40" w:before="20"/>
      </w:pPr>
      <w:r>
        <w:rPr>
          <w:rFonts w:ascii="Arial" w:cs="Arial" w:eastAsia="Arial" w:hAnsi="Arial"/>
          <w:sz w:val="18"/>
          <w:szCs w:val="18"/>
        </w:rPr>
        <w:t xml:space="preserve">Attend the Vendor Results Review Session within 48 hours of test completion.</w:t>
      </w:r>
    </w:p>
    <w:p>
      <w:pPr>
        <w:pStyle w:val="ListParagraph"/>
        <w:numPr>
          <w:ilvl w:val="0"/>
          <w:numId w:val="2"/>
        </w:numPr>
        <w:spacing w:after="40" w:before="20"/>
      </w:pPr>
      <w:r>
        <w:rPr>
          <w:rFonts w:ascii="Arial" w:cs="Arial" w:eastAsia="Arial" w:hAnsi="Arial"/>
          <w:sz w:val="18"/>
          <w:szCs w:val="18"/>
        </w:rPr>
        <w:t xml:space="preserve">Deliver a written Root Cause Analysis (RCA) for any result exceeding the Failure Threshold within 5 business days of receiving results.</w:t>
      </w:r>
    </w:p>
    <w:p>
      <w:pPr>
        <w:pStyle w:val="ListParagraph"/>
        <w:numPr>
          <w:ilvl w:val="0"/>
          <w:numId w:val="2"/>
        </w:numPr>
        <w:spacing w:after="40" w:before="20"/>
      </w:pPr>
      <w:r>
        <w:rPr>
          <w:rFonts w:ascii="Arial" w:cs="Arial" w:eastAsia="Arial" w:hAnsi="Arial"/>
          <w:sz w:val="18"/>
          <w:szCs w:val="18"/>
        </w:rPr>
        <w:t xml:space="preserve">RCA must include: root cause identification, affected infrastructure, remediation plan with timeline, and performance improvement commitment.</w:t>
      </w:r>
    </w:p>
    <w:p>
      <w:pPr>
        <w:pStyle w:val="ListParagraph"/>
        <w:numPr>
          <w:ilvl w:val="0"/>
          <w:numId w:val="2"/>
        </w:numPr>
        <w:spacing w:after="40" w:before="20"/>
      </w:pPr>
      <w:r>
        <w:rPr>
          <w:rFonts w:ascii="Arial" w:cs="Arial" w:eastAsia="Arial" w:hAnsi="Arial"/>
          <w:sz w:val="18"/>
          <w:szCs w:val="18"/>
        </w:rPr>
        <w:t xml:space="preserve">Re-test conditions (Attempt 1): vendor must resolve the identified issue before Attempt 2. Attempt 2 failure triggers the Contract Exit Clause (ref. RFP §5).</w:t>
      </w:r>
    </w:p>
    <w:p>
      <w:pPr>
        <w:spacing w:after="12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7. How Tests Were Executed on IQVIA SmartSolve</w:t>
      </w:r>
    </w:p>
    <w:p>
      <w:pPr>
        <w:spacing w:after="80" w:before="40"/>
        <w:jc w:val="both"/>
      </w:pPr>
      <w:r>
        <w:rPr>
          <w:rFonts w:ascii="Arial" w:cs="Arial" w:eastAsia="Arial" w:hAnsi="Arial"/>
          <w:sz w:val="18"/>
          <w:szCs w:val="18"/>
        </w:rPr>
        <w:t xml:space="preserve">This section provides full transparency to the vendor on the exact methodology used, enabling fair and informed review of results.</w:t>
      </w:r>
    </w:p>
    <w:p>
      <w:pPr>
        <w:spacing w:after="20" w:before="100"/>
      </w:pPr>
      <w:r>
        <w:rPr>
          <w:rFonts w:ascii="Arial" w:cs="Arial" w:eastAsia="Arial" w:hAnsi="Arial"/>
          <w:b/>
          <w:bCs/>
          <w:color w:val="1A3A6B"/>
          <w:sz w:val="18"/>
          <w:szCs w:val="18"/>
        </w:rPr>
        <w:t xml:space="preserve">Coordinator setup: </w:t>
      </w:r>
      <w:r>
        <w:rPr>
          <w:rFonts w:ascii="Arial" w:cs="Arial" w:eastAsia="Arial" w:hAnsi="Arial"/>
          <w:sz w:val="18"/>
          <w:szCs w:val="18"/>
        </w:rPr>
        <w:t xml:space="preserve">One coordinator per region accessed the IQVIA SmartSolve sandbox from a standard corporate workstation on the corporate network (type recorded per run). No special network routes, proxies, or bandwidth reservations were applied.</w:t>
      </w:r>
    </w:p>
    <w:p>
      <w:pPr>
        <w:spacing w:after="20" w:before="100"/>
      </w:pPr>
      <w:r>
        <w:rPr>
          <w:rFonts w:ascii="Arial" w:cs="Arial" w:eastAsia="Arial" w:hAnsi="Arial"/>
          <w:b/>
          <w:bCs/>
          <w:color w:val="1A3A6B"/>
          <w:sz w:val="18"/>
          <w:szCs w:val="18"/>
        </w:rPr>
        <w:t xml:space="preserve">File preparation: </w:t>
      </w:r>
      <w:r>
        <w:rPr>
          <w:rFonts w:ascii="Arial" w:cs="Arial" w:eastAsia="Arial" w:hAnsi="Arial"/>
          <w:sz w:val="18"/>
          <w:szCs w:val="18"/>
        </w:rPr>
        <w:t xml:space="preserve">Test files were downloaded from the shared SharePoint library (Test Assets). SHA-256 integrity was verified before each upload.</w:t>
      </w:r>
    </w:p>
    <w:p>
      <w:pPr>
        <w:spacing w:after="20" w:before="100"/>
      </w:pPr>
      <w:r>
        <w:rPr>
          <w:rFonts w:ascii="Arial" w:cs="Arial" w:eastAsia="Arial" w:hAnsi="Arial"/>
          <w:b/>
          <w:bCs/>
          <w:color w:val="1A3A6B"/>
          <w:sz w:val="18"/>
          <w:szCs w:val="18"/>
        </w:rPr>
        <w:t xml:space="preserve">Upload measurement: </w:t>
      </w:r>
      <w:r>
        <w:rPr>
          <w:rFonts w:ascii="Arial" w:cs="Arial" w:eastAsia="Arial" w:hAnsi="Arial"/>
          <w:sz w:val="18"/>
          <w:szCs w:val="18"/>
        </w:rPr>
        <w:t xml:space="preserve">The coordinator navigated to the standard file upload interface in IQVIA SmartSolve. The app stopwatch was started at the moment of clicking the upload trigger and stopped when the platform displayed an explicit upload confirmation. Time captured to 2 decimal places in seconds.</w:t>
      </w:r>
    </w:p>
    <w:p>
      <w:pPr>
        <w:spacing w:after="20" w:before="100"/>
      </w:pPr>
      <w:r>
        <w:rPr>
          <w:rFonts w:ascii="Arial" w:cs="Arial" w:eastAsia="Arial" w:hAnsi="Arial"/>
          <w:b/>
          <w:bCs/>
          <w:color w:val="1A3A6B"/>
          <w:sz w:val="18"/>
          <w:szCs w:val="18"/>
        </w:rPr>
        <w:t xml:space="preserve">Download measurement: </w:t>
      </w:r>
      <w:r>
        <w:rPr>
          <w:rFonts w:ascii="Arial" w:cs="Arial" w:eastAsia="Arial" w:hAnsi="Arial"/>
          <w:sz w:val="18"/>
          <w:szCs w:val="18"/>
        </w:rPr>
        <w:t xml:space="preserve">Immediately after upload, the coordinator located the uploaded file in IQVIA SmartSolve and initiated download. Timer started at click of download; stopped when the file was fully saved. File size on disk was verified post-download.</w:t>
      </w:r>
    </w:p>
    <w:p>
      <w:pPr>
        <w:spacing w:after="20" w:before="100"/>
      </w:pPr>
      <w:r>
        <w:rPr>
          <w:rFonts w:ascii="Arial" w:cs="Arial" w:eastAsia="Arial" w:hAnsi="Arial"/>
          <w:b/>
          <w:bCs/>
          <w:color w:val="1A3A6B"/>
          <w:sz w:val="18"/>
          <w:szCs w:val="18"/>
        </w:rPr>
        <w:t xml:space="preserve">Repetitions: </w:t>
      </w:r>
      <w:r>
        <w:rPr>
          <w:rFonts w:ascii="Arial" w:cs="Arial" w:eastAsia="Arial" w:hAnsi="Arial"/>
          <w:sz w:val="18"/>
          <w:szCs w:val="18"/>
        </w:rPr>
        <w:t xml:space="preserve">3 runs were performed for each file size and each direction. The average of 3 runs is the value used for KPI evaluation.</w:t>
      </w:r>
    </w:p>
    <w:p>
      <w:pPr>
        <w:spacing w:after="20" w:before="100"/>
      </w:pPr>
      <w:r>
        <w:rPr>
          <w:rFonts w:ascii="Arial" w:cs="Arial" w:eastAsia="Arial" w:hAnsi="Arial"/>
          <w:b/>
          <w:bCs/>
          <w:color w:val="1A3A6B"/>
          <w:sz w:val="18"/>
          <w:szCs w:val="18"/>
        </w:rPr>
        <w:t xml:space="preserve">Result recording: </w:t>
      </w:r>
      <w:r>
        <w:rPr>
          <w:rFonts w:ascii="Arial" w:cs="Arial" w:eastAsia="Arial" w:hAnsi="Arial"/>
          <w:sz w:val="18"/>
          <w:szCs w:val="18"/>
        </w:rPr>
        <w:t xml:space="preserve">All times, errors, and observations were entered into the QMA Performance Test App in real time. Results are timestamped in UTC and linked to the coordinator's Microsoft 365 identity.</w:t>
      </w:r>
    </w:p>
    <w:p>
      <w:pPr>
        <w:spacing w:after="20" w:before="100"/>
      </w:pPr>
      <w:r>
        <w:rPr>
          <w:rFonts w:ascii="Arial" w:cs="Arial" w:eastAsia="Arial" w:hAnsi="Arial"/>
          <w:b/>
          <w:bCs/>
          <w:color w:val="1A3A6B"/>
          <w:sz w:val="18"/>
          <w:szCs w:val="18"/>
        </w:rPr>
        <w:t xml:space="preserve">Evidence: </w:t>
      </w:r>
      <w:r>
        <w:rPr>
          <w:rFonts w:ascii="Arial" w:cs="Arial" w:eastAsia="Arial" w:hAnsi="Arial"/>
          <w:sz w:val="18"/>
          <w:szCs w:val="18"/>
        </w:rPr>
        <w:t xml:space="preserve">At least one screenshot per test session was uploaded to SharePoint: Region / Platform / Date / Coordinator Name.</w:t>
      </w:r>
    </w:p>
    <w:p>
      <w:pPr>
        <w:spacing w:after="12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8. Results Sharing &amp; Next Steps</w:t>
      </w:r>
    </w:p>
    <w:p>
      <w:pPr>
        <w:spacing w:after="80" w:before="40"/>
        <w:jc w:val="both"/>
      </w:pPr>
      <w:r>
        <w:rPr>
          <w:rFonts w:ascii="Arial" w:cs="Arial" w:eastAsia="Arial" w:hAnsi="Arial"/>
          <w:b w:val="false"/>
          <w:bCs w:val="false"/>
          <w:sz w:val="18"/>
          <w:szCs w:val="18"/>
        </w:rPr>
        <w:t xml:space="preserve">Consolidated raw results will be shared with the vendor within </w:t>
      </w:r>
      <w:r>
        <w:rPr>
          <w:rFonts w:ascii="Arial" w:cs="Arial" w:eastAsia="Arial" w:hAnsi="Arial"/>
          <w:b/>
          <w:bCs/>
          <w:sz w:val="18"/>
          <w:szCs w:val="18"/>
        </w:rPr>
        <w:t xml:space="preserve">48 hours</w:t>
      </w:r>
      <w:r>
        <w:rPr>
          <w:rFonts w:ascii="Arial" w:cs="Arial" w:eastAsia="Arial" w:hAnsi="Arial"/>
          <w:b w:val="false"/>
          <w:bCs w:val="false"/>
          <w:sz w:val="18"/>
          <w:szCs w:val="18"/>
        </w:rPr>
        <w:t xml:space="preserve"> of the close of the test window. The vendor review session will be scheduled within 5 business days. Final consolidated report will be issued by the QA Lead within 15 business days.</w:t>
      </w:r>
    </w:p>
    <w:p>
      <w:pPr>
        <w:spacing w:after="120" w:before="0"/>
      </w:pPr>
      <w:r>
        <w:t xml:space="preserve"/>
      </w:r>
    </w:p>
    <w:p>
      <w:pPr>
        <w:pBdr>
          <w:bottom w:val="single" w:color="E5E3DE" w:sz="4" w:space="4"/>
        </w:pBdr>
        <w:spacing w:after="80" w:before="280"/>
      </w:pPr>
      <w:r>
        <w:rPr>
          <w:rFonts w:ascii="Arial" w:cs="Arial" w:eastAsia="Arial" w:hAnsi="Arial"/>
          <w:b/>
          <w:bCs/>
          <w:color w:val="1A3A6B"/>
          <w:sz w:val="26"/>
          <w:szCs w:val="26"/>
        </w:rPr>
        <w:t xml:space="preserve">9. Acknowledgement</w:t>
      </w:r>
    </w:p>
    <w:p>
      <w:pPr>
        <w:spacing w:after="80" w:before="40"/>
        <w:jc w:val="both"/>
      </w:pPr>
      <w:r>
        <w:rPr>
          <w:rFonts w:ascii="Arial" w:cs="Arial" w:eastAsia="Arial" w:hAnsi="Arial"/>
          <w:b w:val="false"/>
          <w:bCs w:val="false"/>
          <w:sz w:val="18"/>
          <w:szCs w:val="18"/>
        </w:rPr>
        <w:t xml:space="preserve">By signing below, </w:t>
      </w:r>
      <w:r>
        <w:rPr>
          <w:rFonts w:ascii="Arial" w:cs="Arial" w:eastAsia="Arial" w:hAnsi="Arial"/>
          <w:b/>
          <w:bCs/>
          <w:sz w:val="18"/>
          <w:szCs w:val="18"/>
        </w:rPr>
        <w:t xml:space="preserve">IQVIA SmartSolve</w:t>
      </w:r>
      <w:r>
        <w:rPr>
          <w:rFonts w:ascii="Arial" w:cs="Arial" w:eastAsia="Arial" w:hAnsi="Arial"/>
          <w:b w:val="false"/>
          <w:bCs w:val="false"/>
          <w:sz w:val="18"/>
          <w:szCs w:val="18"/>
        </w:rPr>
        <w:t xml:space="preserve"> acknowledges receipt of this Test Charter, confirms availability of the sandbox environment during the agreed test window, and accepts the KPI thresholds and obligations described herein.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c>
          <w:tcPr>
            <w:tcW w:type="dxa" w:w="26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Party</w:t>
            </w:r>
          </w:p>
        </w:tc>
        <w:tc>
          <w:tcPr>
            <w:tcW w:type="dxa" w:w="22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Name &amp; Title</w:t>
            </w:r>
          </w:p>
        </w:tc>
        <w:tc>
          <w:tcPr>
            <w:tcW w:type="dxa" w:w="2200"/>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Signature</w:t>
            </w:r>
          </w:p>
        </w:tc>
        <w:tc>
          <w:tcPr>
            <w:tcW w:type="dxa" w:w="2026"/>
            <w:tcBorders>
              <w:top w:val="single" w:color="E5E3DE" w:sz="1"/>
              <w:left w:val="single" w:color="E5E3DE" w:sz="1"/>
              <w:bottom w:val="single" w:color="E5E3DE" w:sz="1"/>
              <w:right w:val="single" w:color="E5E3DE" w:sz="1"/>
            </w:tcBorders>
            <w:shd w:fill="1A3A6B"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6"/>
                <w:szCs w:val="16"/>
              </w:rPr>
              <w:t xml:space="preserve">Date</w:t>
            </w:r>
          </w:p>
        </w:tc>
      </w:tr>
      <w:tr>
        <w:tc>
          <w:tcPr>
            <w:tcW w:type="dxa" w:w="26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Issuer (IT Application Manager)</w:t>
            </w:r>
          </w:p>
        </w:tc>
        <w:tc>
          <w:tcPr>
            <w:tcW w:type="dxa" w:w="2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Alberto Fumero</w:t>
            </w:r>
          </w:p>
        </w:tc>
        <w:tc>
          <w:tcPr>
            <w:tcW w:type="dxa" w:w="2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
            </w:r>
          </w:p>
        </w:tc>
        <w:tc>
          <w:tcPr>
            <w:tcW w:type="dxa" w:w="20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18"/>
                <w:szCs w:val="18"/>
              </w:rPr>
              <w:t xml:space="preserve">May 2025</w:t>
            </w:r>
          </w:p>
        </w:tc>
      </w:tr>
      <w:tr>
        <w:tc>
          <w:tcPr>
            <w:tcW w:type="dxa" w:w="26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QA Lead</w:t>
            </w:r>
          </w:p>
        </w:tc>
        <w:tc>
          <w:tcPr>
            <w:tcW w:type="dxa" w:w="22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
            </w:r>
          </w:p>
        </w:tc>
        <w:tc>
          <w:tcPr>
            <w:tcW w:type="dxa" w:w="2200"/>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
            </w:r>
          </w:p>
        </w:tc>
        <w:tc>
          <w:tcPr>
            <w:tcW w:type="dxa" w:w="2026"/>
            <w:tcBorders>
              <w:top w:val="single" w:color="E5E3DE" w:sz="1"/>
              <w:left w:val="single" w:color="E5E3DE" w:sz="1"/>
              <w:bottom w:val="single" w:color="E5E3DE" w:sz="1"/>
              <w:right w:val="single" w:color="E5E3DE" w:sz="1"/>
            </w:tcBorders>
            <w:shd w:fill="F4F3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
            </w:r>
          </w:p>
        </w:tc>
      </w:tr>
      <w:tr>
        <w:tc>
          <w:tcPr>
            <w:tcW w:type="dxa" w:w="26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IQVIA SmartSolve (Authorised Representative)</w:t>
            </w:r>
          </w:p>
        </w:tc>
        <w:tc>
          <w:tcPr>
            <w:tcW w:type="dxa" w:w="2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
            </w:r>
          </w:p>
        </w:tc>
        <w:tc>
          <w:tcPr>
            <w:tcW w:type="dxa" w:w="2200"/>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
            </w:r>
          </w:p>
        </w:tc>
        <w:tc>
          <w:tcPr>
            <w:tcW w:type="dxa" w:w="2026"/>
            <w:tcBorders>
              <w:top w:val="single" w:color="E5E3DE" w:sz="1"/>
              <w:left w:val="single" w:color="E5E3DE" w:sz="1"/>
              <w:bottom w:val="single" w:color="E5E3DE" w:sz="1"/>
              <w:right w:val="single" w:color="E5E3DE" w:sz="1"/>
            </w:tcBorders>
            <w:shd w:fill="E8EE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3DE" w:sz="4" w:space="4"/>
      </w:pBdr>
      <w:jc w:val="center"/>
    </w:pPr>
    <w:r>
      <w:rPr>
        <w:rFonts w:ascii="Arial" w:cs="Arial" w:eastAsia="Arial" w:hAnsi="Arial"/>
        <w:color w:val="9E9B95"/>
        <w:sz w:val="16"/>
        <w:szCs w:val="16"/>
      </w:rPr>
      <w:t xml:space="preserve">Confidential – Shared with IQVIA SmartSolve only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3DE" w:sz="4" w:space="4"/>
      </w:pBdr>
    </w:pPr>
    <w:r>
      <w:rPr>
        <w:rFonts w:ascii="Arial" w:cs="Arial" w:eastAsia="Arial" w:hAnsi="Arial"/>
        <w:color w:val="9E9B95"/>
        <w:sz w:val="16"/>
        <w:szCs w:val="16"/>
      </w:rPr>
      <w:t xml:space="preserve">QMA Global Performance Test  |  Test Charter for IQVIA SmartSolve  |  QMA-CHARTER-IQVIA-001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2026-05-17T10:53:47.526Z</dcterms:created>
  <dcterms:modified xsi:type="dcterms:W3CDTF">2026-05-17T10:53:47.526Z</dcterms:modified>
</cp:coreProperties>
</file>

<file path=docProps/custom.xml><?xml version="1.0" encoding="utf-8"?>
<Properties xmlns="http://schemas.openxmlformats.org/officeDocument/2006/custom-properties" xmlns:vt="http://schemas.openxmlformats.org/officeDocument/2006/docPropsVTypes"/>
</file>