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Documentación de la aplicación dentro de la página web: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(copy paste, (sin formato)):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Comenzamos explicando las tecnologías utilizadas para desarrollar la web.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Editor: Atom, editor de texto y entorno de programación free source.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BBDD: La base de datos utilizada es la aportada por la UGR. Después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de muchos intentos, conseguimos un conector que cambiando las consultas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de mysql por las de oci para SQL developer nos proporciona la abstracción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necesaria para poder conectarnos a la UGR.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XAMP: para alojar localmente mediante apache nuestra web y poder comunicarnos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con la base de datos por SQL developer.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Los lenguajes utilizados para implemtación de la página web son: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+HTML: para el esqueleto de la página web.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+CSS : para la edición de esta.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+PHP : para conexión a la base de datos y obtención de datos.Por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supuesto refresca la página de forma dinámica.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+PL/SQL: para la realización de los triggers dentro de la Base de datos.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página web consta de varios apartados en los que encontramos una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breve descripción de la página, una consulta a todas las tablas de 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web, la documentación de la web y una opinión propia de los compañeros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de trabajo.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Las tablas se actualizan de forma dinámica desde la Base de datos,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mediante SQL developer controlaremos las modificaciones de datos.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Internamente contamos con un archivo que se encarga de la conexión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hacia la base de datos y de hacerle las peticiones de datos, además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de mostrarlos en el apartado "Vista de Tablas".(Ver codigo si es necesario).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