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F876" w14:textId="1F0DFEC1" w:rsidR="00605253" w:rsidRPr="00605253" w:rsidRDefault="00605253" w:rsidP="00605253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605253">
        <w:rPr>
          <w:b/>
          <w:bCs/>
          <w:sz w:val="28"/>
          <w:szCs w:val="28"/>
        </w:rPr>
        <w:t>ACTIVIDADES TEMA 3. LA EMPRESA Y SU ENTORNO</w:t>
      </w:r>
    </w:p>
    <w:p w14:paraId="77575FA2" w14:textId="7BD37F87" w:rsidR="00943446" w:rsidRDefault="00605253" w:rsidP="00943446">
      <w:pPr>
        <w:pStyle w:val="Prrafodelista"/>
        <w:numPr>
          <w:ilvl w:val="0"/>
          <w:numId w:val="5"/>
        </w:numPr>
        <w:ind w:left="426"/>
        <w:jc w:val="both"/>
      </w:pPr>
      <w:r>
        <w:t xml:space="preserve">Recuerda que los elementos de una empresa se pueden clasificar en los siguientes grupos: elementos materiales, elementos inmateriales, recursos humanos, know how y capital financiero. Clasifica los siguientes elementos de un hipermercado señalando con un a X su grupo correspondiente. </w:t>
      </w:r>
    </w:p>
    <w:p w14:paraId="7BD055DA" w14:textId="77777777" w:rsidR="00943446" w:rsidRDefault="00943446" w:rsidP="00943446">
      <w:pPr>
        <w:ind w:left="66"/>
        <w:jc w:val="both"/>
      </w:pPr>
    </w:p>
    <w:tbl>
      <w:tblPr>
        <w:tblW w:w="968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50"/>
        <w:gridCol w:w="1535"/>
        <w:gridCol w:w="1814"/>
        <w:gridCol w:w="1654"/>
        <w:gridCol w:w="992"/>
        <w:gridCol w:w="1841"/>
      </w:tblGrid>
      <w:tr w:rsidR="00931BC8" w:rsidRPr="00605253" w14:paraId="5FA112B8" w14:textId="77777777" w:rsidTr="00931BC8">
        <w:trPr>
          <w:trHeight w:val="69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DE577DF" w14:textId="77777777" w:rsidR="00605253" w:rsidRPr="00605253" w:rsidRDefault="00605253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ELEMENTOS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3457D7" w14:textId="230890BE" w:rsidR="00605253" w:rsidRPr="00605253" w:rsidRDefault="00931BC8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MATERIALES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1AA4ED" w14:textId="0FC5EC9D" w:rsidR="00605253" w:rsidRPr="00605253" w:rsidRDefault="00931BC8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INMATERIALES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630680" w14:textId="3A33FDA4" w:rsidR="00605253" w:rsidRPr="00605253" w:rsidRDefault="00931BC8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FD43AD" w14:textId="2600DF1F" w:rsidR="00605253" w:rsidRPr="00605253" w:rsidRDefault="00931BC8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KNOW HOW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1A2242" w14:textId="572F916F" w:rsidR="00605253" w:rsidRPr="00605253" w:rsidRDefault="00931BC8" w:rsidP="00931BC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CAPITAL FINANCIERO</w:t>
            </w:r>
          </w:p>
        </w:tc>
      </w:tr>
      <w:tr w:rsidR="00931BC8" w:rsidRPr="00605253" w14:paraId="1C6F0C9E" w14:textId="77777777" w:rsidTr="00931BC8">
        <w:trPr>
          <w:trHeight w:val="47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580764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Caja</w:t>
            </w:r>
          </w:p>
          <w:p w14:paraId="69206C67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registradora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EBACE6" w14:textId="59710E93" w:rsidR="00605253" w:rsidRPr="00605253" w:rsidRDefault="00F21A05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B54A23C" w14:textId="4BC30B84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E0B7DB" w14:textId="1D150DE7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FFA2128" w14:textId="2D4A791D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D6B1C7" w14:textId="77FC836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33789292" w14:textId="77777777" w:rsidTr="00931BC8">
        <w:trPr>
          <w:trHeight w:val="1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B43BD65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Reponedor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C5CE25" w14:textId="24BA9A9D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821E0F" w14:textId="3032B79C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C7FD45" w14:textId="0C95C121" w:rsidR="00605253" w:rsidRPr="00605253" w:rsidRDefault="00EA0CB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4BEF0D" w14:textId="4DD201A4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1E74EE" w14:textId="011F7B8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64B7F237" w14:textId="77777777" w:rsidTr="00931BC8">
        <w:trPr>
          <w:trHeight w:val="4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39BC926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Tarjeta de</w:t>
            </w:r>
          </w:p>
          <w:p w14:paraId="7A809609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crédito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8D24E" w14:textId="16245FDF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778B7B4" w14:textId="2A1C2E2E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D2C452B" w14:textId="0A95A65F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62EC0" w14:textId="5B6D48FB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1C7B6D" w14:textId="13842683" w:rsidR="00605253" w:rsidRPr="00605253" w:rsidRDefault="00051D9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</w:tr>
      <w:tr w:rsidR="00931BC8" w:rsidRPr="00605253" w14:paraId="717527A9" w14:textId="77777777" w:rsidTr="00931BC8">
        <w:trPr>
          <w:trHeight w:val="1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D41E37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Cheque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9815F3" w14:textId="1949455D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8EC964" w14:textId="49B3FEF8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D0F16C" w14:textId="5DE23264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CA8BE2" w14:textId="74C8FEC1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653A2A" w14:textId="5D27C302" w:rsidR="00605253" w:rsidRPr="00605253" w:rsidRDefault="00F21A05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</w:tr>
      <w:tr w:rsidR="00931BC8" w:rsidRPr="00605253" w14:paraId="432F98F2" w14:textId="77777777" w:rsidTr="00931BC8">
        <w:trPr>
          <w:trHeight w:val="6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67F6665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Marca propia del</w:t>
            </w:r>
          </w:p>
          <w:p w14:paraId="50880F07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hipermercado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B54D52" w14:textId="4794FA20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640B18" w14:textId="05E27ED1" w:rsidR="00605253" w:rsidRPr="00605253" w:rsidRDefault="00F21A05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0A7C6D" w14:textId="712C48E6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5419DE" w14:textId="597ED132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71434B" w14:textId="2AF6CF63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5E08B18A" w14:textId="77777777" w:rsidTr="00931BC8">
        <w:trPr>
          <w:trHeight w:val="4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40B49C4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Jefe de</w:t>
            </w:r>
          </w:p>
          <w:p w14:paraId="1019B37B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compras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072FE7" w14:textId="4558CB4D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C58FED" w14:textId="64344C1C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2F5D3A" w14:textId="4FC6198D" w:rsidR="00605253" w:rsidRPr="00605253" w:rsidRDefault="00051D9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91843A6" w14:textId="43149E7C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E81F61" w14:textId="394C66E8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56446947" w14:textId="77777777" w:rsidTr="00931BC8">
        <w:trPr>
          <w:trHeight w:val="1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8FEB27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Estantería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3CFFD9" w14:textId="77876DF1" w:rsidR="00605253" w:rsidRPr="00605253" w:rsidRDefault="00F21A05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300904" w14:textId="651AECF1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2D6A87D" w14:textId="240B6B2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00A6236" w14:textId="094480BC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6657D6" w14:textId="7A7C2FD9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146D2D8C" w14:textId="77777777" w:rsidTr="00931BC8">
        <w:trPr>
          <w:trHeight w:val="78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87AF09" w14:textId="77777777" w:rsidR="00605253" w:rsidRPr="00605253" w:rsidRDefault="00605253" w:rsidP="00605253">
            <w:pPr>
              <w:spacing w:after="0" w:line="240" w:lineRule="auto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Colocar los productos</w:t>
            </w:r>
          </w:p>
          <w:p w14:paraId="0552AD29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adecuadamente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FC9BCE9" w14:textId="7BC18EC6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610745" w14:textId="0CF05A36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A60A6A0" w14:textId="7184C116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8E529AF" w14:textId="0B6C5BA1" w:rsidR="00605253" w:rsidRPr="00605253" w:rsidRDefault="00F21A05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7CE515" w14:textId="1ABA694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132C7DDB" w14:textId="77777777" w:rsidTr="00931BC8">
        <w:trPr>
          <w:trHeight w:val="479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B79224F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Programa</w:t>
            </w:r>
          </w:p>
          <w:p w14:paraId="3126115C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informático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C74B60A" w14:textId="6A88B28C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4785947" w14:textId="32E09121" w:rsidR="00605253" w:rsidRPr="00605253" w:rsidRDefault="00EA0CB4" w:rsidP="00F21A05">
            <w:pPr>
              <w:spacing w:after="0" w:line="240" w:lineRule="auto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805C2BF" w14:textId="2FD71CA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0CFDF0" w14:textId="681ECC94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D76D740" w14:textId="4B8F34DF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  <w:tr w:rsidR="00931BC8" w:rsidRPr="00605253" w14:paraId="30B06CE7" w14:textId="77777777" w:rsidTr="00931BC8">
        <w:trPr>
          <w:trHeight w:val="18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CE4F89A" w14:textId="77777777" w:rsidR="00605253" w:rsidRPr="00605253" w:rsidRDefault="00605253" w:rsidP="00605253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Edificio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1EEB4" w14:textId="00074B4E" w:rsidR="00605253" w:rsidRPr="00605253" w:rsidRDefault="00EA0CB4" w:rsidP="00EA0CB4">
            <w:pPr>
              <w:spacing w:after="0" w:line="240" w:lineRule="auto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CF6987" w14:textId="7E3D047F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10165D" w14:textId="556C091D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36E213" w14:textId="5DA9C80A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8BC924" w14:textId="193692C8" w:rsidR="00605253" w:rsidRPr="00605253" w:rsidRDefault="00605253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</w:p>
        </w:tc>
      </w:tr>
    </w:tbl>
    <w:p w14:paraId="54EAB0DC" w14:textId="4A8FD29F" w:rsidR="00605253" w:rsidRPr="00605253" w:rsidRDefault="00605253" w:rsidP="00605253"/>
    <w:p w14:paraId="5954AB9C" w14:textId="6453BD03" w:rsidR="00605253" w:rsidRPr="009174DB" w:rsidRDefault="00605253" w:rsidP="009174D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9174DB">
        <w:rPr>
          <w:rFonts w:eastAsia="Times New Roman" w:cstheme="minorHAnsi"/>
          <w:color w:val="1C1C1C"/>
          <w:sz w:val="24"/>
          <w:szCs w:val="24"/>
          <w:lang w:eastAsia="es-ES"/>
        </w:rPr>
        <w:t>Clasifica las siguientes empresas según su tamaño, teniendo en cuenta las recomendaciones de la Unión Europea estudiadas en este tema.</w:t>
      </w:r>
    </w:p>
    <w:p w14:paraId="20485CA9" w14:textId="77777777" w:rsidR="00605253" w:rsidRPr="00605253" w:rsidRDefault="00605253" w:rsidP="009174DB">
      <w:p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605253">
        <w:rPr>
          <w:rFonts w:eastAsia="Times New Roman" w:cstheme="minorHAnsi"/>
          <w:color w:val="1C1C1C"/>
          <w:sz w:val="24"/>
          <w:szCs w:val="24"/>
          <w:lang w:eastAsia="es-ES"/>
        </w:rPr>
        <w:t>Para ello, señalaremos con la letra A las microempresas, con la letra B las empresas pequeñas, con la letra C las empresas medianas y, finalmente, con la letra D las empresas grandes.</w:t>
      </w:r>
    </w:p>
    <w:p w14:paraId="49BEC922" w14:textId="38470390" w:rsidR="00605253" w:rsidRPr="00605253" w:rsidRDefault="00605253" w:rsidP="00605253">
      <w:pPr>
        <w:rPr>
          <w:rFonts w:cstheme="minorHAnsi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4"/>
        <w:gridCol w:w="2061"/>
        <w:gridCol w:w="2406"/>
        <w:gridCol w:w="1712"/>
        <w:gridCol w:w="1155"/>
      </w:tblGrid>
      <w:tr w:rsidR="00943446" w:rsidRPr="00605253" w14:paraId="4A3C8D4E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5DEEA0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EMPRESA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985CA0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NÚMERO DE EMPLEADOS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7261A34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 VOLUMEN DE FACTURACIÓN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BC7F994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BALANCE GENERAL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BEA7EA" w14:textId="0E922A83" w:rsidR="00943446" w:rsidRPr="00605253" w:rsidRDefault="00931BC8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1C1C1C"/>
                <w:sz w:val="20"/>
                <w:szCs w:val="20"/>
                <w:lang w:eastAsia="es-ES"/>
              </w:rPr>
              <w:t>TIPO DE EMPRESA</w:t>
            </w:r>
          </w:p>
        </w:tc>
      </w:tr>
      <w:tr w:rsidR="00943446" w:rsidRPr="00605253" w14:paraId="1BFD68D5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05C640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RO,S.A.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9341B8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4CF9B9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1.500.000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8150BCB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2.200.000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723F91" w14:textId="329FEFA5" w:rsidR="00943446" w:rsidRPr="00605253" w:rsidRDefault="00051D9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A</w:t>
            </w:r>
          </w:p>
        </w:tc>
      </w:tr>
      <w:tr w:rsidR="00943446" w:rsidRPr="00605253" w14:paraId="645FD603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AB6DF9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ME,S.A.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A6C4F2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2DE4970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65.000.000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4B41923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40.000.000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35508C" w14:textId="425803AE" w:rsidR="00943446" w:rsidRPr="00605253" w:rsidRDefault="00EA0CB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D</w:t>
            </w:r>
          </w:p>
        </w:tc>
      </w:tr>
      <w:tr w:rsidR="00943446" w:rsidRPr="00605253" w14:paraId="1C1DAF74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2120C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CO,S.A.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39B31D9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3D4235B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1.500.000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5D2583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2.200.000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74E90F" w14:textId="0D227EDD" w:rsidR="00943446" w:rsidRPr="00605253" w:rsidRDefault="00EA0CB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B</w:t>
            </w:r>
          </w:p>
        </w:tc>
      </w:tr>
      <w:tr w:rsidR="00943446" w:rsidRPr="00605253" w14:paraId="1448F2AD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9E0C829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LO,S.A.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6BB09F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63BAE5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A05DC33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20.000.000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DDD77C7" w14:textId="1300CDB8" w:rsidR="00943446" w:rsidRPr="00605253" w:rsidRDefault="00EA0CB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C</w:t>
            </w:r>
          </w:p>
        </w:tc>
      </w:tr>
      <w:tr w:rsidR="00943446" w:rsidRPr="00605253" w14:paraId="19E2D25B" w14:textId="77777777" w:rsidTr="00943446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D92811B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MU,S.A.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6FD3BC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1A8E7E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10.000.000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D93E48" w14:textId="77777777" w:rsidR="00943446" w:rsidRPr="00605253" w:rsidRDefault="00943446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 w:rsidRPr="00605253"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 15.000.000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372712" w14:textId="21B40DDA" w:rsidR="00943446" w:rsidRPr="00605253" w:rsidRDefault="00051D94" w:rsidP="006052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0"/>
                <w:szCs w:val="20"/>
                <w:lang w:eastAsia="es-ES"/>
              </w:rPr>
              <w:t>B</w:t>
            </w:r>
          </w:p>
        </w:tc>
      </w:tr>
    </w:tbl>
    <w:p w14:paraId="0A8FEA6B" w14:textId="545BB381" w:rsidR="00605253" w:rsidRPr="00605253" w:rsidRDefault="00605253" w:rsidP="00605253">
      <w:pPr>
        <w:rPr>
          <w:sz w:val="20"/>
          <w:szCs w:val="20"/>
        </w:rPr>
      </w:pPr>
    </w:p>
    <w:p w14:paraId="497B5010" w14:textId="7598B0C6" w:rsidR="00EA4F53" w:rsidRPr="009174DB" w:rsidRDefault="00EA4F53" w:rsidP="009174D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9174DB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lastRenderedPageBreak/>
        <w:t>En una comunidad autónoma han elaborado un proyecto de ayuda al autoempleo, por lo que conceden determinadas subvenciones a las PYMEs.</w:t>
      </w:r>
    </w:p>
    <w:p w14:paraId="1ABB51D4" w14:textId="44B0A8BB" w:rsid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EA4F53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Una empresa de la zona, que cuenta con 17 trabajadores , ha facturado ocho millones (8.000.000) de euros y tiene un patrimonio de doce millones (12.000.000) de euros, está interesada en solicitar la subvención. ¿Tiene derecho a ello?</w:t>
      </w:r>
    </w:p>
    <w:p w14:paraId="4845E17A" w14:textId="04693B38" w:rsidR="009174DB" w:rsidRDefault="009174DB" w:rsidP="00EA4F5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54117CA1" w14:textId="472E8C9B" w:rsidR="00EB27AF" w:rsidRDefault="00051D94" w:rsidP="00EA4F5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Tiene derecho por ser una mediana empresa</w:t>
      </w:r>
    </w:p>
    <w:p w14:paraId="4C73F685" w14:textId="17C52170" w:rsidR="009174DB" w:rsidRDefault="009174DB" w:rsidP="00EA4F5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00A0865B" w14:textId="77777777" w:rsidR="009174DB" w:rsidRPr="00EA4F53" w:rsidRDefault="009174DB" w:rsidP="00EA4F5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46A89713" w14:textId="2FAF3C2C" w:rsidR="00EA4F53" w:rsidRPr="009174DB" w:rsidRDefault="00EA4F53" w:rsidP="009174D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9174DB">
        <w:rPr>
          <w:rFonts w:eastAsia="Times New Roman" w:cstheme="minorHAnsi"/>
          <w:color w:val="1C1C1C"/>
          <w:sz w:val="24"/>
          <w:szCs w:val="24"/>
          <w:lang w:eastAsia="es-ES"/>
        </w:rPr>
        <w:t>Las ayudas concedidas variarán según se trate de microempresas, empresas pequeñas o empresas medianas, de la siguiente forma:</w:t>
      </w:r>
    </w:p>
    <w:p w14:paraId="4CB88A5F" w14:textId="77777777" w:rsidR="00EA4F53" w:rsidRPr="00EA4F53" w:rsidRDefault="00EA4F53" w:rsidP="00EA4F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 </w:t>
      </w:r>
    </w:p>
    <w:p w14:paraId="5EA12983" w14:textId="1918CBD8" w:rsidR="00EA4F53" w:rsidRP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noProof/>
          <w:color w:val="1C1C1C"/>
          <w:sz w:val="24"/>
          <w:szCs w:val="24"/>
          <w:lang w:eastAsia="es-ES"/>
        </w:rPr>
        <w:drawing>
          <wp:inline distT="0" distB="0" distL="0" distR="0" wp14:anchorId="128E425D" wp14:editId="6D77698A">
            <wp:extent cx="76200" cy="66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 500 euros a las microempresas.</w:t>
      </w:r>
    </w:p>
    <w:p w14:paraId="2BB45730" w14:textId="2F08D246" w:rsidR="00EA4F53" w:rsidRP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noProof/>
          <w:color w:val="1C1C1C"/>
          <w:sz w:val="24"/>
          <w:szCs w:val="24"/>
          <w:lang w:eastAsia="es-ES"/>
        </w:rPr>
        <w:drawing>
          <wp:inline distT="0" distB="0" distL="0" distR="0" wp14:anchorId="76949EE8" wp14:editId="756EC42A">
            <wp:extent cx="76200" cy="66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 1.500 euros a las empresas pequeñas.</w:t>
      </w:r>
    </w:p>
    <w:p w14:paraId="4778F31D" w14:textId="00778C25" w:rsidR="00EA4F53" w:rsidRP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noProof/>
          <w:color w:val="1C1C1C"/>
          <w:sz w:val="24"/>
          <w:szCs w:val="24"/>
          <w:lang w:eastAsia="es-ES"/>
        </w:rPr>
        <w:drawing>
          <wp:inline distT="0" distB="0" distL="0" distR="0" wp14:anchorId="3EA1222B" wp14:editId="2EF9FE89">
            <wp:extent cx="76200" cy="6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 3.000 euros a las empresas medianas.</w:t>
      </w:r>
    </w:p>
    <w:p w14:paraId="061378DB" w14:textId="77777777" w:rsidR="00EA4F53" w:rsidRP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 </w:t>
      </w:r>
    </w:p>
    <w:p w14:paraId="34100A74" w14:textId="77777777" w:rsidR="00EA4F53" w:rsidRPr="00EA4F53" w:rsidRDefault="00EA4F53" w:rsidP="009174DB">
      <w:pPr>
        <w:shd w:val="clear" w:color="auto" w:fill="FFFFFF"/>
        <w:spacing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EA4F53">
        <w:rPr>
          <w:rFonts w:eastAsia="Times New Roman" w:cstheme="minorHAnsi"/>
          <w:color w:val="1C1C1C"/>
          <w:sz w:val="24"/>
          <w:szCs w:val="24"/>
          <w:lang w:eastAsia="es-ES"/>
        </w:rPr>
        <w:t>¿Qué cuantía le corresponderá a la empresa de este ejercicio?</w:t>
      </w:r>
    </w:p>
    <w:p w14:paraId="775998CC" w14:textId="3A381AE5" w:rsidR="00EA4F53" w:rsidRDefault="00EA4F53" w:rsidP="00605253">
      <w:pPr>
        <w:rPr>
          <w:rFonts w:cstheme="minorHAnsi"/>
        </w:rPr>
      </w:pPr>
    </w:p>
    <w:p w14:paraId="156CA7AC" w14:textId="2FC3E938" w:rsidR="00EB27AF" w:rsidRPr="00EA4F53" w:rsidRDefault="00EA0CB4" w:rsidP="00F21A05">
      <w:pPr>
        <w:ind w:firstLine="708"/>
        <w:rPr>
          <w:rFonts w:cstheme="minorHAnsi"/>
        </w:rPr>
      </w:pPr>
      <w:r>
        <w:rPr>
          <w:rFonts w:cstheme="minorHAnsi"/>
        </w:rPr>
        <w:t>1500 por que estaría dentro de las pequeñas</w:t>
      </w:r>
    </w:p>
    <w:p w14:paraId="69CD3B19" w14:textId="016120A7" w:rsidR="00605253" w:rsidRPr="00605253" w:rsidRDefault="00605253" w:rsidP="00605253"/>
    <w:p w14:paraId="62B4B893" w14:textId="32F0692D" w:rsidR="00EA4F53" w:rsidRPr="009174DB" w:rsidRDefault="00EA4F53" w:rsidP="009174DB">
      <w:pPr>
        <w:pStyle w:val="Prrafodelista"/>
        <w:numPr>
          <w:ilvl w:val="0"/>
          <w:numId w:val="5"/>
        </w:numPr>
        <w:shd w:val="clear" w:color="auto" w:fill="FFFFFF"/>
        <w:spacing w:before="168" w:after="0" w:line="240" w:lineRule="auto"/>
        <w:ind w:left="426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9174DB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 Indica si son verdaderos o falsos los siguientes supuestos referidos a la clasificación de las empresas según su ámbito de actuación:</w:t>
      </w:r>
    </w:p>
    <w:p w14:paraId="4A19CF92" w14:textId="77777777" w:rsidR="00EA4F53" w:rsidRPr="00EA4F53" w:rsidRDefault="00EA4F53" w:rsidP="00EA4F53">
      <w:pPr>
        <w:pStyle w:val="Prrafodelista"/>
        <w:numPr>
          <w:ilvl w:val="0"/>
          <w:numId w:val="1"/>
        </w:numPr>
        <w:pBdr>
          <w:bottom w:val="single" w:sz="6" w:space="1" w:color="auto"/>
        </w:pBdr>
        <w:spacing w:after="0" w:line="240" w:lineRule="auto"/>
        <w:jc w:val="center"/>
        <w:rPr>
          <w:rFonts w:ascii="Calibri" w:eastAsia="Times New Roman" w:hAnsi="Calibri" w:cs="Calibri"/>
          <w:vanish/>
          <w:sz w:val="16"/>
          <w:szCs w:val="16"/>
          <w:lang w:eastAsia="es-ES"/>
        </w:rPr>
      </w:pPr>
      <w:r w:rsidRPr="00EA4F53">
        <w:rPr>
          <w:rFonts w:ascii="Calibri" w:eastAsia="Times New Roman" w:hAnsi="Calibri" w:cs="Calibri"/>
          <w:vanish/>
          <w:sz w:val="16"/>
          <w:szCs w:val="16"/>
          <w:lang w:eastAsia="es-ES"/>
        </w:rPr>
        <w:t>Principio del formulario</w:t>
      </w:r>
    </w:p>
    <w:p w14:paraId="5B3CEAA8" w14:textId="54FBDA89" w:rsidR="00EA4F53" w:rsidRDefault="00EA4F53" w:rsidP="00EA4F53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EA4F53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La empresa Zapatos Comodín, dedicada a la venta al por menor de zapatos de caballeros y señoras tiene cuatro zapaterías repartidas por Sevilla y su provincia, y decide abrir una nueva tienda en Jerez de la Frontera (Cádiz), por lo que esta empresa pasaría de ser local a regional.</w:t>
      </w:r>
      <w:r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 xml:space="preserve"> </w:t>
      </w:r>
    </w:p>
    <w:p w14:paraId="5CFB92B5" w14:textId="77777777" w:rsidR="00EB27AF" w:rsidRDefault="00EB27AF" w:rsidP="00EB27AF">
      <w:pPr>
        <w:pStyle w:val="Prrafodelista"/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1E5D519B" w14:textId="5488315F" w:rsidR="009174DB" w:rsidRDefault="009174DB" w:rsidP="009174D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07DAE561" w14:textId="783C1E9A" w:rsidR="009174DB" w:rsidRPr="009174DB" w:rsidRDefault="00EA0CB4" w:rsidP="009174DB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Si por que no necesita estar en todas las regiones de la comunidad de andalucia</w:t>
      </w:r>
    </w:p>
    <w:p w14:paraId="4B0307F9" w14:textId="77777777" w:rsidR="00EA4F53" w:rsidRPr="00EA4F53" w:rsidRDefault="00EA4F53" w:rsidP="00EA4F53">
      <w:pPr>
        <w:pBdr>
          <w:top w:val="single" w:sz="6" w:space="1" w:color="auto"/>
        </w:pBdr>
        <w:spacing w:after="0" w:line="240" w:lineRule="auto"/>
        <w:jc w:val="center"/>
        <w:rPr>
          <w:rFonts w:ascii="Calibri" w:eastAsia="Times New Roman" w:hAnsi="Calibri" w:cs="Calibri"/>
          <w:vanish/>
          <w:sz w:val="16"/>
          <w:szCs w:val="16"/>
          <w:lang w:eastAsia="es-ES"/>
        </w:rPr>
      </w:pPr>
      <w:r w:rsidRPr="00EA4F53">
        <w:rPr>
          <w:rFonts w:ascii="Calibri" w:eastAsia="Times New Roman" w:hAnsi="Calibri" w:cs="Calibri"/>
          <w:vanish/>
          <w:sz w:val="16"/>
          <w:szCs w:val="16"/>
          <w:lang w:eastAsia="es-ES"/>
        </w:rPr>
        <w:t>Final del formulario</w:t>
      </w:r>
    </w:p>
    <w:p w14:paraId="062E4FBC" w14:textId="39B58117" w:rsidR="00605253" w:rsidRPr="00EA4F53" w:rsidRDefault="00605253" w:rsidP="00605253">
      <w:pPr>
        <w:rPr>
          <w:rFonts w:ascii="Calibri" w:hAnsi="Calibri" w:cs="Calibri"/>
        </w:rPr>
      </w:pPr>
    </w:p>
    <w:p w14:paraId="4210D74D" w14:textId="2586EA5C" w:rsidR="00605253" w:rsidRPr="00C86218" w:rsidRDefault="00C86218" w:rsidP="00C86218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 w:rsidRPr="00C86218">
        <w:rPr>
          <w:rFonts w:cstheme="minorHAnsi"/>
          <w:color w:val="1C1C1C"/>
          <w:shd w:val="clear" w:color="auto" w:fill="FFFFFF"/>
        </w:rPr>
        <w:t>Mica, S.A. es una empresa dedicada a la distribución y venta de artículos de decoración para el hogar. Sus instalaciones están en la provincia de Jaén, pero de</w:t>
      </w:r>
      <w:r w:rsidR="000123D0">
        <w:rPr>
          <w:rFonts w:cstheme="minorHAnsi"/>
          <w:color w:val="1C1C1C"/>
          <w:shd w:val="clear" w:color="auto" w:fill="FFFFFF"/>
        </w:rPr>
        <w:t>c</w:t>
      </w:r>
      <w:r w:rsidRPr="00C86218">
        <w:rPr>
          <w:rFonts w:cstheme="minorHAnsi"/>
          <w:color w:val="1C1C1C"/>
          <w:shd w:val="clear" w:color="auto" w:fill="FFFFFF"/>
        </w:rPr>
        <w:t>idieron abrirse al mercado internacional mediante la venta de artículos por internet, por lo que podemos hablar de una empresa multinacional.</w:t>
      </w:r>
    </w:p>
    <w:p w14:paraId="6DC2CA2F" w14:textId="6549E073" w:rsidR="00605253" w:rsidRPr="00605253" w:rsidRDefault="00EA0CB4" w:rsidP="00605253">
      <w:r>
        <w:t>No porque no tiene establecimientos en distintos países</w:t>
      </w:r>
    </w:p>
    <w:p w14:paraId="1D05DAB3" w14:textId="04A3C2C6" w:rsidR="00605253" w:rsidRPr="00605253" w:rsidRDefault="00605253" w:rsidP="00605253"/>
    <w:p w14:paraId="1E1DAB97" w14:textId="77777777" w:rsidR="009174DB" w:rsidRDefault="009174DB" w:rsidP="00C86218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56B7D823" w14:textId="77777777" w:rsidR="009174DB" w:rsidRDefault="009174DB" w:rsidP="00C86218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19E45FF3" w14:textId="72C1B2AC" w:rsidR="009174DB" w:rsidRDefault="009174DB" w:rsidP="00C86218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0BF0757C" w14:textId="77777777" w:rsidR="00931BC8" w:rsidRDefault="00931BC8" w:rsidP="00C86218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</w:p>
    <w:p w14:paraId="2D9B90B1" w14:textId="273D3482" w:rsidR="00C86218" w:rsidRPr="009174DB" w:rsidRDefault="00C86218" w:rsidP="009174DB">
      <w:pPr>
        <w:pStyle w:val="Prrafodelista"/>
        <w:numPr>
          <w:ilvl w:val="0"/>
          <w:numId w:val="5"/>
        </w:numPr>
        <w:shd w:val="clear" w:color="auto" w:fill="FFFFFF"/>
        <w:spacing w:after="120" w:line="240" w:lineRule="auto"/>
        <w:ind w:left="426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9174DB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 xml:space="preserve">Además del tamaño, podemos clasificar una empresa fijándonos en el territorio en el que desempeña su actividad. Clasifica según su ámbito de actuación, las </w:t>
      </w:r>
      <w:r w:rsidRPr="009174DB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lastRenderedPageBreak/>
        <w:t>siguientes empresas. Para ello, señala con la letra "L" para aquellas que sean locales, "R" para las regionales, "N" para las nacionales y "M" para las multinacionales.</w:t>
      </w:r>
      <w:r w:rsidRPr="009174DB">
        <w:rPr>
          <w:rFonts w:ascii="Calibri" w:eastAsia="Times New Roman" w:hAnsi="Calibri" w:cs="Calibri"/>
          <w:vanish/>
          <w:sz w:val="24"/>
          <w:szCs w:val="24"/>
          <w:lang w:eastAsia="es-ES"/>
        </w:rPr>
        <w:t>Principio del formulario</w:t>
      </w:r>
    </w:p>
    <w:p w14:paraId="3F2361CD" w14:textId="77777777" w:rsidR="00C86218" w:rsidRDefault="00C86218" w:rsidP="00C86218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Calibri"/>
          <w:vanish/>
          <w:sz w:val="24"/>
          <w:szCs w:val="24"/>
          <w:lang w:eastAsia="es-ES"/>
        </w:rPr>
      </w:pPr>
    </w:p>
    <w:p w14:paraId="6C78840A" w14:textId="39F2AB1F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Flores Ana S.L. surte de plantas y flores el barrio de Triana, en Sevilla.</w:t>
      </w:r>
    </w:p>
    <w:p w14:paraId="0864C1DD" w14:textId="55D737CC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before="168"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Talleres Álvarez S.A. reparan automóviles en tres de las ocho provincias andaluzas.</w:t>
      </w:r>
    </w:p>
    <w:p w14:paraId="127B2B4F" w14:textId="1C6DE9AB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before="168"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La Agencia Pública de Puertos de Andalucía es una empresa pública adscrita a la Consejería de obras públicas y de vivienda.</w:t>
      </w:r>
    </w:p>
    <w:p w14:paraId="7933DA69" w14:textId="77777777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before="168"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NaturJuice S.A. produce zumo de naranja ecológico en sus instalaciones de Valencia y distribuye sus productos por toda España y varios países de la UE.</w:t>
      </w:r>
    </w:p>
    <w:p w14:paraId="7AD96DE4" w14:textId="77777777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before="168"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Aceites Tierra de Olivos S.A. con sede en Úbeda produce y distribuye aceite de oliva de primera calidad para todo el territorio español.</w:t>
      </w:r>
    </w:p>
    <w:p w14:paraId="1CD7D4A0" w14:textId="0259BECA" w:rsidR="00C86218" w:rsidRPr="00C86218" w:rsidRDefault="00C86218" w:rsidP="00C86218">
      <w:pPr>
        <w:pStyle w:val="Prrafodelista"/>
        <w:numPr>
          <w:ilvl w:val="0"/>
          <w:numId w:val="3"/>
        </w:numPr>
        <w:shd w:val="clear" w:color="auto" w:fill="FFFFFF"/>
        <w:spacing w:before="168" w:after="120" w:line="240" w:lineRule="auto"/>
        <w:contextualSpacing w:val="0"/>
        <w:jc w:val="both"/>
        <w:rPr>
          <w:rFonts w:ascii="Calibri" w:eastAsia="Times New Roman" w:hAnsi="Calibri" w:cs="Calibri"/>
          <w:color w:val="1C1C1C"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color w:val="1C1C1C"/>
          <w:sz w:val="24"/>
          <w:szCs w:val="24"/>
          <w:lang w:eastAsia="es-ES"/>
        </w:rPr>
        <w:t>Intex S.A. dedicada a la producción, distribución y venta de ropa tiene su matriz en Madrid pero varias filiales en Francia, Italia y Bélgica.</w:t>
      </w:r>
    </w:p>
    <w:p w14:paraId="1F04C84E" w14:textId="77777777" w:rsidR="00C86218" w:rsidRPr="00C86218" w:rsidRDefault="00C86218" w:rsidP="00C86218">
      <w:pPr>
        <w:pBdr>
          <w:top w:val="single" w:sz="6" w:space="1" w:color="auto"/>
        </w:pBdr>
        <w:spacing w:after="0" w:line="240" w:lineRule="auto"/>
        <w:jc w:val="center"/>
        <w:rPr>
          <w:rFonts w:ascii="Calibri" w:eastAsia="Times New Roman" w:hAnsi="Calibri" w:cs="Calibri"/>
          <w:vanish/>
          <w:sz w:val="24"/>
          <w:szCs w:val="24"/>
          <w:lang w:eastAsia="es-ES"/>
        </w:rPr>
      </w:pPr>
      <w:r w:rsidRPr="00C86218">
        <w:rPr>
          <w:rFonts w:ascii="Calibri" w:eastAsia="Times New Roman" w:hAnsi="Calibri" w:cs="Calibri"/>
          <w:vanish/>
          <w:sz w:val="24"/>
          <w:szCs w:val="24"/>
          <w:lang w:eastAsia="es-ES"/>
        </w:rPr>
        <w:t>Final del formulario</w:t>
      </w:r>
    </w:p>
    <w:p w14:paraId="67AF3156" w14:textId="77777777" w:rsidR="00931BC8" w:rsidRDefault="00931BC8" w:rsidP="00931BC8">
      <w:pPr>
        <w:spacing w:after="240" w:line="240" w:lineRule="auto"/>
        <w:rPr>
          <w:rFonts w:eastAsia="Times New Roman" w:cstheme="minorHAnsi"/>
          <w:color w:val="1C1C1C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931BC8" w14:paraId="0BCC00F0" w14:textId="77777777" w:rsidTr="00931BC8">
        <w:tc>
          <w:tcPr>
            <w:tcW w:w="704" w:type="dxa"/>
          </w:tcPr>
          <w:p w14:paraId="52074E62" w14:textId="6C5686D5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7790" w:type="dxa"/>
          </w:tcPr>
          <w:p w14:paraId="7D56F398" w14:textId="62FDDCE8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931BC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Flores Ana S.L. surte de plantas y flores el barrio de Triana, en Sevilla</w:t>
            </w:r>
          </w:p>
        </w:tc>
      </w:tr>
      <w:tr w:rsidR="00931BC8" w14:paraId="0C0FE91B" w14:textId="77777777" w:rsidTr="00931BC8">
        <w:tc>
          <w:tcPr>
            <w:tcW w:w="704" w:type="dxa"/>
          </w:tcPr>
          <w:p w14:paraId="2C4CAE43" w14:textId="4E7F953C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7790" w:type="dxa"/>
          </w:tcPr>
          <w:p w14:paraId="14C6073A" w14:textId="600EC896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Talleres Álvarez S.A. reparan automóviles en tres de las ocho provincias andaluzas </w:t>
            </w:r>
          </w:p>
        </w:tc>
      </w:tr>
      <w:tr w:rsidR="00931BC8" w14:paraId="6A6357E5" w14:textId="77777777" w:rsidTr="00931BC8">
        <w:tc>
          <w:tcPr>
            <w:tcW w:w="704" w:type="dxa"/>
          </w:tcPr>
          <w:p w14:paraId="596E6AA7" w14:textId="0F8D0261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7790" w:type="dxa"/>
          </w:tcPr>
          <w:p w14:paraId="7BFE6B32" w14:textId="61DC6B57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La Agencia Pública de Puertos de Andalucía es una empresa pública adscrita a la Consejería de obras públicas y de vivienda  </w:t>
            </w:r>
          </w:p>
        </w:tc>
      </w:tr>
      <w:tr w:rsidR="00931BC8" w14:paraId="5353736B" w14:textId="77777777" w:rsidTr="00931BC8">
        <w:tc>
          <w:tcPr>
            <w:tcW w:w="704" w:type="dxa"/>
          </w:tcPr>
          <w:p w14:paraId="002FDA6A" w14:textId="2FA10613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7790" w:type="dxa"/>
          </w:tcPr>
          <w:p w14:paraId="46DACF67" w14:textId="68C7C874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NaturJuice S.A. produce zumo de naranja en sus instalaciones de Valencia y lo distribuye por España y otros países </w:t>
            </w:r>
          </w:p>
        </w:tc>
      </w:tr>
      <w:tr w:rsidR="00931BC8" w14:paraId="61EAABF8" w14:textId="77777777" w:rsidTr="00931BC8">
        <w:tc>
          <w:tcPr>
            <w:tcW w:w="704" w:type="dxa"/>
          </w:tcPr>
          <w:p w14:paraId="437F9F4C" w14:textId="4F72E1A4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7790" w:type="dxa"/>
          </w:tcPr>
          <w:p w14:paraId="120EEEC5" w14:textId="5520320B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Aceites Tierra de Olivos S.A., con sede en Úbeda, produce y distribuye su producto por todo el territorio español</w:t>
            </w:r>
          </w:p>
        </w:tc>
      </w:tr>
      <w:tr w:rsidR="00931BC8" w14:paraId="5B5B6681" w14:textId="77777777" w:rsidTr="00931BC8">
        <w:tc>
          <w:tcPr>
            <w:tcW w:w="704" w:type="dxa"/>
          </w:tcPr>
          <w:p w14:paraId="02D42FF9" w14:textId="05472926" w:rsidR="00931BC8" w:rsidRDefault="00F21A05" w:rsidP="00931BC8">
            <w:pPr>
              <w:spacing w:after="240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7790" w:type="dxa"/>
          </w:tcPr>
          <w:p w14:paraId="214125FF" w14:textId="48B2144D" w:rsidR="00931BC8" w:rsidRDefault="00931BC8" w:rsidP="00931BC8">
            <w:pPr>
              <w:spacing w:after="240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Intex S.A. dedicada a la producción y venta de ropa tiene su matriz en Madrid pero varias filiales en Francia, Italia y Bélgica</w:t>
            </w:r>
          </w:p>
        </w:tc>
      </w:tr>
    </w:tbl>
    <w:p w14:paraId="0583F364" w14:textId="77777777" w:rsidR="00931BC8" w:rsidRDefault="00931BC8" w:rsidP="00931BC8">
      <w:pPr>
        <w:spacing w:after="240" w:line="240" w:lineRule="auto"/>
        <w:rPr>
          <w:rFonts w:eastAsia="Times New Roman" w:cstheme="minorHAnsi"/>
          <w:color w:val="1C1C1C"/>
          <w:sz w:val="24"/>
          <w:szCs w:val="24"/>
          <w:lang w:eastAsia="es-ES"/>
        </w:rPr>
      </w:pPr>
    </w:p>
    <w:p w14:paraId="1C6BAC0E" w14:textId="77777777" w:rsidR="00931BC8" w:rsidRDefault="00931BC8" w:rsidP="00931BC8">
      <w:pPr>
        <w:spacing w:after="240" w:line="240" w:lineRule="auto"/>
        <w:rPr>
          <w:rFonts w:eastAsia="Times New Roman" w:cstheme="minorHAnsi"/>
          <w:color w:val="1C1C1C"/>
          <w:sz w:val="24"/>
          <w:szCs w:val="24"/>
          <w:lang w:eastAsia="es-ES"/>
        </w:rPr>
      </w:pPr>
    </w:p>
    <w:p w14:paraId="2BE8C279" w14:textId="6E0F1EDF" w:rsidR="00C86218" w:rsidRPr="00C86218" w:rsidRDefault="00C86218" w:rsidP="009174DB">
      <w:pPr>
        <w:spacing w:after="240" w:line="240" w:lineRule="auto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C86218">
        <w:rPr>
          <w:rFonts w:eastAsia="Times New Roman" w:cstheme="minorHAnsi"/>
          <w:color w:val="1C1C1C"/>
          <w:sz w:val="24"/>
          <w:szCs w:val="24"/>
          <w:lang w:eastAsia="es-ES"/>
        </w:rPr>
        <w:t> </w:t>
      </w:r>
    </w:p>
    <w:p w14:paraId="5024F317" w14:textId="348EAA93" w:rsidR="009174DB" w:rsidRDefault="009174DB">
      <w:pPr>
        <w:rPr>
          <w:rFonts w:eastAsia="Times New Roman" w:cstheme="minorHAnsi"/>
          <w:color w:val="1C1C1C"/>
          <w:sz w:val="24"/>
          <w:szCs w:val="24"/>
          <w:lang w:eastAsia="es-ES"/>
        </w:rPr>
      </w:pPr>
      <w:r>
        <w:rPr>
          <w:rFonts w:eastAsia="Times New Roman" w:cstheme="minorHAnsi"/>
          <w:color w:val="1C1C1C"/>
          <w:sz w:val="24"/>
          <w:szCs w:val="24"/>
          <w:lang w:eastAsia="es-ES"/>
        </w:rPr>
        <w:br w:type="page"/>
      </w:r>
    </w:p>
    <w:p w14:paraId="0E483845" w14:textId="54AC3118" w:rsidR="009174DB" w:rsidRPr="009174DB" w:rsidRDefault="009174DB" w:rsidP="009174DB">
      <w:pPr>
        <w:pStyle w:val="Prrafodelista"/>
        <w:numPr>
          <w:ilvl w:val="0"/>
          <w:numId w:val="5"/>
        </w:numPr>
        <w:shd w:val="clear" w:color="auto" w:fill="FFFFFF"/>
        <w:spacing w:before="168" w:after="0" w:line="240" w:lineRule="auto"/>
        <w:ind w:left="426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>
        <w:rPr>
          <w:rFonts w:eastAsia="Times New Roman" w:cstheme="minorHAnsi"/>
          <w:color w:val="1C1C1C"/>
          <w:sz w:val="24"/>
          <w:szCs w:val="24"/>
          <w:lang w:eastAsia="es-ES"/>
        </w:rPr>
        <w:lastRenderedPageBreak/>
        <w:t xml:space="preserve">Indica el sector, titularidad, tamaño y ámbito de actuación de cada una de las empresas que se indican </w:t>
      </w:r>
    </w:p>
    <w:p w14:paraId="3FCA667F" w14:textId="2EABC242" w:rsidR="00C86218" w:rsidRPr="004A5403" w:rsidRDefault="00C86218" w:rsidP="004A5403">
      <w:pPr>
        <w:pStyle w:val="Prrafodelista"/>
        <w:numPr>
          <w:ilvl w:val="0"/>
          <w:numId w:val="4"/>
        </w:numPr>
        <w:shd w:val="clear" w:color="auto" w:fill="FFFFFF"/>
        <w:spacing w:before="168" w:after="0" w:line="240" w:lineRule="auto"/>
        <w:ind w:left="714" w:hanging="357"/>
        <w:contextualSpacing w:val="0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4A5403">
        <w:rPr>
          <w:rFonts w:eastAsia="Times New Roman" w:cstheme="minorHAnsi"/>
          <w:b/>
          <w:bCs/>
          <w:color w:val="1C1C1C"/>
          <w:sz w:val="24"/>
          <w:szCs w:val="24"/>
          <w:lang w:eastAsia="es-ES"/>
        </w:rPr>
        <w:t>Sector</w:t>
      </w:r>
      <w:r w:rsidRPr="004A5403">
        <w:rPr>
          <w:rFonts w:eastAsia="Times New Roman" w:cstheme="minorHAnsi"/>
          <w:color w:val="1C1C1C"/>
          <w:sz w:val="24"/>
          <w:szCs w:val="24"/>
          <w:lang w:eastAsia="es-ES"/>
        </w:rPr>
        <w:t>: primario, secundario, terciario o varios</w:t>
      </w:r>
    </w:p>
    <w:tbl>
      <w:tblPr>
        <w:tblpPr w:leftFromText="195" w:rightFromText="195" w:topFromText="150" w:bottomFromText="150" w:vertAnchor="text" w:tblpXSpec="right" w:tblpYSpec="cent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"/>
        <w:gridCol w:w="145"/>
        <w:gridCol w:w="145"/>
        <w:gridCol w:w="145"/>
      </w:tblGrid>
      <w:tr w:rsidR="00C86218" w:rsidRPr="00C86218" w14:paraId="585E54EB" w14:textId="77777777" w:rsidTr="00C8621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2CADD51" w14:textId="668734F0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B995BB2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55F8B63" w14:textId="59B76F91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D7338FE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</w:tr>
      <w:tr w:rsidR="00C86218" w:rsidRPr="00C86218" w14:paraId="2E260F5F" w14:textId="77777777" w:rsidTr="00C86218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5ECA3BF" w14:textId="6C06BE1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5252B133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4964D110" w14:textId="6D3FE736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  <w:hideMark/>
          </w:tcPr>
          <w:p w14:paraId="3BB51CFE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</w:t>
            </w:r>
          </w:p>
        </w:tc>
      </w:tr>
    </w:tbl>
    <w:p w14:paraId="052873DA" w14:textId="77777777" w:rsidR="00C86218" w:rsidRPr="004A5403" w:rsidRDefault="00C86218" w:rsidP="004A5403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ind w:left="714" w:hanging="357"/>
        <w:contextualSpacing w:val="0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4A5403">
        <w:rPr>
          <w:rFonts w:eastAsia="Times New Roman" w:cstheme="minorHAnsi"/>
          <w:b/>
          <w:bCs/>
          <w:color w:val="1C1C1C"/>
          <w:sz w:val="24"/>
          <w:szCs w:val="24"/>
          <w:lang w:eastAsia="es-ES"/>
        </w:rPr>
        <w:t>Titularidad</w:t>
      </w:r>
      <w:r w:rsidRPr="004A5403">
        <w:rPr>
          <w:rFonts w:eastAsia="Times New Roman" w:cstheme="minorHAnsi"/>
          <w:color w:val="1C1C1C"/>
          <w:sz w:val="24"/>
          <w:szCs w:val="24"/>
          <w:lang w:eastAsia="es-ES"/>
        </w:rPr>
        <w:t>: pública, privada o mixta</w:t>
      </w:r>
    </w:p>
    <w:p w14:paraId="7BF1187B" w14:textId="77777777" w:rsidR="00C86218" w:rsidRPr="004A5403" w:rsidRDefault="00C86218" w:rsidP="00C86218">
      <w:pPr>
        <w:pStyle w:val="Prrafodelista"/>
        <w:numPr>
          <w:ilvl w:val="0"/>
          <w:numId w:val="4"/>
        </w:numPr>
        <w:shd w:val="clear" w:color="auto" w:fill="FFFFFF"/>
        <w:spacing w:before="168" w:after="0" w:line="240" w:lineRule="auto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4A5403">
        <w:rPr>
          <w:rFonts w:eastAsia="Times New Roman" w:cstheme="minorHAnsi"/>
          <w:b/>
          <w:bCs/>
          <w:color w:val="1C1C1C"/>
          <w:sz w:val="24"/>
          <w:szCs w:val="24"/>
          <w:lang w:eastAsia="es-ES"/>
        </w:rPr>
        <w:t>Tamaño</w:t>
      </w:r>
      <w:r w:rsidRPr="004A5403">
        <w:rPr>
          <w:rFonts w:eastAsia="Times New Roman" w:cstheme="minorHAnsi"/>
          <w:color w:val="1C1C1C"/>
          <w:sz w:val="24"/>
          <w:szCs w:val="24"/>
          <w:lang w:eastAsia="es-ES"/>
        </w:rPr>
        <w:t>: pequeña, mediana o grande</w:t>
      </w:r>
    </w:p>
    <w:p w14:paraId="6B451FEA" w14:textId="77777777" w:rsidR="00C86218" w:rsidRPr="004A5403" w:rsidRDefault="00C86218" w:rsidP="00C86218">
      <w:pPr>
        <w:pStyle w:val="Prrafodelista"/>
        <w:numPr>
          <w:ilvl w:val="0"/>
          <w:numId w:val="4"/>
        </w:numPr>
        <w:shd w:val="clear" w:color="auto" w:fill="FFFFFF"/>
        <w:spacing w:before="168" w:after="0" w:line="240" w:lineRule="auto"/>
        <w:jc w:val="both"/>
        <w:rPr>
          <w:rFonts w:eastAsia="Times New Roman" w:cstheme="minorHAnsi"/>
          <w:color w:val="1C1C1C"/>
          <w:sz w:val="24"/>
          <w:szCs w:val="24"/>
          <w:lang w:eastAsia="es-ES"/>
        </w:rPr>
      </w:pPr>
      <w:r w:rsidRPr="004A5403">
        <w:rPr>
          <w:rFonts w:eastAsia="Times New Roman" w:cstheme="minorHAnsi"/>
          <w:b/>
          <w:bCs/>
          <w:color w:val="1C1C1C"/>
          <w:sz w:val="24"/>
          <w:szCs w:val="24"/>
          <w:lang w:eastAsia="es-ES"/>
        </w:rPr>
        <w:t>Ámbito</w:t>
      </w:r>
      <w:r w:rsidRPr="004A5403">
        <w:rPr>
          <w:rFonts w:eastAsia="Times New Roman" w:cstheme="minorHAnsi"/>
          <w:color w:val="1C1C1C"/>
          <w:sz w:val="24"/>
          <w:szCs w:val="24"/>
          <w:lang w:eastAsia="es-ES"/>
        </w:rPr>
        <w:t>: multinacional, nacional, regional o local</w:t>
      </w:r>
    </w:p>
    <w:p w14:paraId="0B1D275E" w14:textId="47960524" w:rsidR="00C86218" w:rsidRPr="004A5403" w:rsidRDefault="00C86218" w:rsidP="00C86218">
      <w:pPr>
        <w:rPr>
          <w:rFonts w:cstheme="minorHAnsi"/>
        </w:rPr>
      </w:pPr>
    </w:p>
    <w:tbl>
      <w:tblPr>
        <w:tblW w:w="8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16"/>
        <w:gridCol w:w="1434"/>
        <w:gridCol w:w="1633"/>
        <w:gridCol w:w="1579"/>
        <w:gridCol w:w="1665"/>
      </w:tblGrid>
      <w:tr w:rsidR="004A5403" w:rsidRPr="00C86218" w14:paraId="66CC571D" w14:textId="77777777" w:rsidTr="00943446">
        <w:trPr>
          <w:trHeight w:val="39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690042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  <w:t>Empresa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23B94C1" w14:textId="6D1352E7" w:rsidR="00C86218" w:rsidRPr="00943446" w:rsidRDefault="00943446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</w:pPr>
            <w:r w:rsidRPr="00943446"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  <w:t>Sector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2C69378" w14:textId="5A42DE23" w:rsidR="00C86218" w:rsidRPr="00943446" w:rsidRDefault="00943446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</w:pPr>
            <w:r w:rsidRPr="00943446"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  <w:t>Titularidad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1436E4" w14:textId="6BE26010" w:rsidR="00C86218" w:rsidRPr="00943446" w:rsidRDefault="00943446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</w:pPr>
            <w:r w:rsidRPr="00943446"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  <w:t>Tamaño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D8A8992" w14:textId="4B985D9A" w:rsidR="00C86218" w:rsidRPr="00943446" w:rsidRDefault="00943446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</w:pPr>
            <w:r w:rsidRPr="00943446">
              <w:rPr>
                <w:rFonts w:ascii="Calibri" w:eastAsia="Times New Roman" w:hAnsi="Calibri" w:cs="Calibri"/>
                <w:b/>
                <w:bCs/>
                <w:color w:val="1C1C1C"/>
                <w:sz w:val="24"/>
                <w:szCs w:val="24"/>
                <w:lang w:eastAsia="es-ES"/>
              </w:rPr>
              <w:t>Ámbito</w:t>
            </w:r>
          </w:p>
        </w:tc>
      </w:tr>
      <w:tr w:rsidR="004A5403" w:rsidRPr="00C86218" w14:paraId="0D7F0132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836F2C3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 </w:t>
            </w:r>
            <w:r w:rsidRPr="00C86218"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  <w:t>Inditex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F0C0D02" w14:textId="4FF1AFD5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S y T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C5C14B1" w14:textId="714DAD2E" w:rsidR="00C86218" w:rsidRPr="00C86218" w:rsidRDefault="00F21A05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9293A8" w14:textId="5D725FD7" w:rsidR="00C86218" w:rsidRPr="00C86218" w:rsidRDefault="00F21A05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Grande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376733" w14:textId="2009DD8D" w:rsidR="00C86218" w:rsidRPr="00C86218" w:rsidRDefault="00F21A05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Multinacional</w:t>
            </w:r>
          </w:p>
        </w:tc>
      </w:tr>
      <w:tr w:rsidR="004A5403" w:rsidRPr="00C86218" w14:paraId="2470E38B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C5DA3B1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  <w:t> Mercadona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5DB6EA" w14:textId="75EEE0DB" w:rsidR="00C86218" w:rsidRPr="00C86218" w:rsidRDefault="00F21A05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Terciario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93EDAEB" w14:textId="48DA3F40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B612DC8" w14:textId="778EC19E" w:rsidR="00C86218" w:rsidRPr="00C86218" w:rsidRDefault="00B617C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Grande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A262546" w14:textId="07AF512C" w:rsidR="00C86218" w:rsidRPr="00C86218" w:rsidRDefault="00B617C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Nacional</w:t>
            </w:r>
          </w:p>
        </w:tc>
      </w:tr>
      <w:tr w:rsidR="004A5403" w:rsidRPr="00C86218" w14:paraId="2F4F221D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9D621BE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  <w:t> Correos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6D92C1F" w14:textId="6ED65E1A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Terciario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47E80A6" w14:textId="0359914B" w:rsidR="00C86218" w:rsidRPr="00C86218" w:rsidRDefault="00B617C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Publica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41A1C8C" w14:textId="0296F8E8" w:rsidR="00C86218" w:rsidRPr="00C86218" w:rsidRDefault="00B617C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Grande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8C60233" w14:textId="6FB6CE14" w:rsidR="00C86218" w:rsidRPr="00C86218" w:rsidRDefault="00B617C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Nacional</w:t>
            </w:r>
          </w:p>
        </w:tc>
      </w:tr>
      <w:tr w:rsidR="004A5403" w:rsidRPr="00C86218" w14:paraId="7C656597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9DC863C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ascii="Calibri" w:eastAsia="Times New Roman" w:hAnsi="Calibri" w:cs="Calibri"/>
                <w:color w:val="1C1C1C"/>
                <w:sz w:val="24"/>
                <w:szCs w:val="24"/>
                <w:lang w:eastAsia="es-ES"/>
              </w:rPr>
              <w:t> Hospital Costa del Sol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165B26" w14:textId="77C542C4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Terciario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0B3B937" w14:textId="7AF68EEC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publico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D548EC" w14:textId="692FE760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mediano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65B6CB1" w14:textId="3AB41D7C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Local</w:t>
            </w:r>
          </w:p>
        </w:tc>
      </w:tr>
      <w:tr w:rsidR="004A5403" w:rsidRPr="00C86218" w14:paraId="398FC60E" w14:textId="77777777" w:rsidTr="00943446">
        <w:trPr>
          <w:trHeight w:val="842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8F740E6" w14:textId="77777777" w:rsidR="00C86218" w:rsidRPr="00C86218" w:rsidRDefault="00C86218" w:rsidP="009174DB">
            <w:pPr>
              <w:spacing w:before="168" w:after="0" w:line="240" w:lineRule="auto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Pizzería "El Rápido"   (5 trabajadores)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8198E4" w14:textId="7DD3D9C7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Secundario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D3146F" w14:textId="600DDCEB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C3A33F" w14:textId="443A7A3A" w:rsidR="00C86218" w:rsidRPr="00C86218" w:rsidRDefault="00B37DBB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</w:t>
            </w:r>
            <w:r w:rsidR="00566EE9"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equeño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5A4EDA" w14:textId="7FD65EF6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Local</w:t>
            </w:r>
          </w:p>
        </w:tc>
      </w:tr>
      <w:tr w:rsidR="004A5403" w:rsidRPr="00C86218" w14:paraId="05D19108" w14:textId="77777777" w:rsidTr="00943446">
        <w:trPr>
          <w:trHeight w:val="923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ADDE27" w14:textId="77777777" w:rsidR="00C86218" w:rsidRPr="00C86218" w:rsidRDefault="00C86218" w:rsidP="009174DB">
            <w:pPr>
              <w:spacing w:before="168" w:after="0" w:line="240" w:lineRule="auto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Construcciones Híspalis S.A. (52 trabajadores</w:t>
            </w:r>
            <w:r w:rsidRPr="00C86218">
              <w:rPr>
                <w:rFonts w:eastAsia="Times New Roman" w:cstheme="minorHAnsi"/>
                <w:color w:val="1C1C1C"/>
                <w:sz w:val="15"/>
                <w:szCs w:val="15"/>
                <w:lang w:eastAsia="es-ES"/>
              </w:rPr>
              <w:t>)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8305A8E" w14:textId="71725EBD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Secundario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0ED201" w14:textId="239811C2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9B30B9" w14:textId="6E986F6C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Mediana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A92A89" w14:textId="41C504DE" w:rsidR="00C86218" w:rsidRPr="00C86218" w:rsidRDefault="00EA0CB4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Local</w:t>
            </w:r>
          </w:p>
        </w:tc>
      </w:tr>
      <w:tr w:rsidR="004A5403" w:rsidRPr="00C86218" w14:paraId="262C9C2D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3B5896A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Osborne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6659979" w14:textId="3FCB73F5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Secundario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BD9B5D" w14:textId="34288A8E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EFE018C" w14:textId="1B91B96D" w:rsidR="00C86218" w:rsidRPr="00C86218" w:rsidRDefault="00F551E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Grande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18E2BA1" w14:textId="27DFA7C7" w:rsidR="00C86218" w:rsidRPr="00C86218" w:rsidRDefault="00F551E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Multinacional</w:t>
            </w:r>
          </w:p>
        </w:tc>
      </w:tr>
      <w:tr w:rsidR="004A5403" w:rsidRPr="00C86218" w14:paraId="007AC752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8703847" w14:textId="77777777" w:rsidR="00C86218" w:rsidRPr="00C86218" w:rsidRDefault="00C86218" w:rsidP="00C86218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 Bar Reinols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2BABAD" w14:textId="469DA11E" w:rsidR="00C86218" w:rsidRPr="00C86218" w:rsidRDefault="00F551E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Terciario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65C1F2" w14:textId="23E5DBFF" w:rsidR="00C86218" w:rsidRPr="00C86218" w:rsidRDefault="00F551E1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CE404C" w14:textId="04DD5379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pequeño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858637" w14:textId="5FE7942D" w:rsidR="00C86218" w:rsidRPr="00C86218" w:rsidRDefault="00566EE9" w:rsidP="00C86218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local</w:t>
            </w:r>
          </w:p>
        </w:tc>
      </w:tr>
      <w:tr w:rsidR="009174DB" w:rsidRPr="00C86218" w14:paraId="3013A799" w14:textId="77777777" w:rsidTr="00943446">
        <w:trPr>
          <w:trHeight w:val="470"/>
          <w:jc w:val="center"/>
        </w:trPr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13D5861" w14:textId="77777777" w:rsidR="009174DB" w:rsidRPr="00C86218" w:rsidRDefault="009174DB" w:rsidP="009174DB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 w:rsidRPr="00C86218"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Cosentino S.A.</w:t>
            </w:r>
          </w:p>
        </w:tc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742E93" w14:textId="6AEEE691" w:rsidR="009174DB" w:rsidRPr="00C86218" w:rsidRDefault="00F551E1" w:rsidP="009174D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 y S</w:t>
            </w:r>
          </w:p>
        </w:tc>
        <w:tc>
          <w:tcPr>
            <w:tcW w:w="17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92B7841" w14:textId="2E036B9B" w:rsidR="009174DB" w:rsidRPr="00C86218" w:rsidRDefault="00F551E1" w:rsidP="009174DB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color w:val="1C1C1C"/>
                <w:sz w:val="24"/>
                <w:szCs w:val="24"/>
                <w:lang w:eastAsia="es-ES"/>
              </w:rPr>
              <w:t>Privado</w:t>
            </w:r>
          </w:p>
        </w:tc>
        <w:tc>
          <w:tcPr>
            <w:tcW w:w="1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B145AB" w14:textId="363912E1" w:rsidR="009174DB" w:rsidRPr="00C86218" w:rsidRDefault="00F551E1" w:rsidP="009174DB">
            <w:pPr>
              <w:spacing w:after="0" w:line="240" w:lineRule="auto"/>
              <w:jc w:val="both"/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1C1C1C"/>
                <w:sz w:val="24"/>
                <w:szCs w:val="24"/>
                <w:lang w:eastAsia="es-ES"/>
              </w:rPr>
              <w:t>Grande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906F" w14:textId="75C549BA" w:rsidR="009174DB" w:rsidRPr="00C86218" w:rsidRDefault="00F551E1" w:rsidP="009174D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Multinacional</w:t>
            </w:r>
          </w:p>
        </w:tc>
      </w:tr>
    </w:tbl>
    <w:p w14:paraId="6150201A" w14:textId="272028EE" w:rsidR="00C86218" w:rsidRDefault="00C86218" w:rsidP="00C86218"/>
    <w:p w14:paraId="17CEF599" w14:textId="79B0BED4" w:rsidR="004A5403" w:rsidRDefault="004A5403" w:rsidP="004A5403"/>
    <w:p w14:paraId="7F5A2607" w14:textId="77777777" w:rsidR="001819FD" w:rsidRPr="004A5403" w:rsidRDefault="001819FD" w:rsidP="004A5403"/>
    <w:sectPr w:rsidR="001819FD" w:rsidRPr="004A5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03592"/>
    <w:multiLevelType w:val="hybridMultilevel"/>
    <w:tmpl w:val="63C60140"/>
    <w:lvl w:ilvl="0" w:tplc="D72665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AFC"/>
    <w:multiLevelType w:val="multilevel"/>
    <w:tmpl w:val="425E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F4E02"/>
    <w:multiLevelType w:val="hybridMultilevel"/>
    <w:tmpl w:val="DDCEAA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CBA"/>
    <w:multiLevelType w:val="hybridMultilevel"/>
    <w:tmpl w:val="DC1CACEE"/>
    <w:lvl w:ilvl="0" w:tplc="FF6431C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256F"/>
    <w:multiLevelType w:val="hybridMultilevel"/>
    <w:tmpl w:val="5DE8E99C"/>
    <w:lvl w:ilvl="0" w:tplc="6E2CEC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52603">
    <w:abstractNumId w:val="3"/>
  </w:num>
  <w:num w:numId="2" w16cid:durableId="1330135008">
    <w:abstractNumId w:val="0"/>
  </w:num>
  <w:num w:numId="3" w16cid:durableId="1522746113">
    <w:abstractNumId w:val="2"/>
  </w:num>
  <w:num w:numId="4" w16cid:durableId="2141654044">
    <w:abstractNumId w:val="1"/>
  </w:num>
  <w:num w:numId="5" w16cid:durableId="513737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53"/>
    <w:rsid w:val="000123D0"/>
    <w:rsid w:val="00051D94"/>
    <w:rsid w:val="001819FD"/>
    <w:rsid w:val="004A5403"/>
    <w:rsid w:val="00566EE9"/>
    <w:rsid w:val="00605253"/>
    <w:rsid w:val="0078721E"/>
    <w:rsid w:val="0086768C"/>
    <w:rsid w:val="009174DB"/>
    <w:rsid w:val="00931BC8"/>
    <w:rsid w:val="00943446"/>
    <w:rsid w:val="00AD63D5"/>
    <w:rsid w:val="00B37DBB"/>
    <w:rsid w:val="00B617C1"/>
    <w:rsid w:val="00BA081A"/>
    <w:rsid w:val="00C86218"/>
    <w:rsid w:val="00E240F9"/>
    <w:rsid w:val="00E61BCB"/>
    <w:rsid w:val="00EA0CB4"/>
    <w:rsid w:val="00EA4F53"/>
    <w:rsid w:val="00EB27AF"/>
    <w:rsid w:val="00EF57B9"/>
    <w:rsid w:val="00F21A05"/>
    <w:rsid w:val="00F551E1"/>
    <w:rsid w:val="00F7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74D8"/>
  <w15:chartTrackingRefBased/>
  <w15:docId w15:val="{D77A16FB-3193-4115-A8F7-EBDDB59B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A4F5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A4F5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A4F5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A4F53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A4F5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86218"/>
    <w:rPr>
      <w:b/>
      <w:bCs/>
    </w:rPr>
  </w:style>
  <w:style w:type="table" w:styleId="Tablaconcuadrcula">
    <w:name w:val="Table Grid"/>
    <w:basedOn w:val="Tablanormal"/>
    <w:uiPriority w:val="39"/>
    <w:rsid w:val="0093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849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34679</dc:creator>
  <cp:keywords/>
  <dc:description/>
  <cp:lastModifiedBy>aula 5 2</cp:lastModifiedBy>
  <cp:revision>5</cp:revision>
  <cp:lastPrinted>2022-11-04T08:54:00Z</cp:lastPrinted>
  <dcterms:created xsi:type="dcterms:W3CDTF">2022-11-10T10:37:00Z</dcterms:created>
  <dcterms:modified xsi:type="dcterms:W3CDTF">2022-11-11T11:20:00Z</dcterms:modified>
</cp:coreProperties>
</file>