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4"/>
          <w:sz-cs w:val="24"/>
          <w:color w:val="000000"/>
        </w:rPr>
        <w:t xml:space="preserve"># Hands-on assignment 1 – Self assessment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>## Checklist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>**The “README.md” file:**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>- [x] Includes the names and GitHub users of all the members of the group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>**The "csv" directory:**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>- [x] Contains at least one CSV file </w:t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>- [x] The CSV files belong to one of the selected domains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>**The "datasetRequirements.html" file:**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>- [x] Identifies the licenses of all the selected datasets</w:t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>- [x] Identifies those entities in the selected datasets that can be linked with entities in other datasets</w:t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>- [x] Identifies those entities in other datasets that can be linked with entities in the selected datasets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>**The "applicationRequirements.html” file:**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>- [x] Includes a description of the application user interface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>## Comments on the self-assessment</w:t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>_(If required)_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