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contextualSpacing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Descripción del archivo con el corpus de habla imaginada del INAOE</w:t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 del archivo: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IndividuosS1-S27(17columnas)-Epocas.mat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Cómo abrir en MATLAB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hanging="360"/>
        <w:contextualSpacing w:val="1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Asumiendo que la ruta del archivo y el directorio principal de MATLAB son el mismo, se carga el archivo con el siguiente comando: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firstLine="0"/>
        <w:contextualSpacing w:val="0"/>
        <w:rPr>
          <w:rFonts w:ascii="Courier New" w:cs="Courier New" w:eastAsia="Courier New" w:hAnsi="Courier New"/>
          <w:b w:val="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0"/>
          <w:sz w:val="24"/>
          <w:szCs w:val="24"/>
          <w:rtl w:val="0"/>
        </w:rPr>
        <w:t xml:space="preserve">&gt;&gt; load('IndividuosS1-S27(17columnas).mat')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firstLine="0"/>
        <w:contextualSpacing w:val="0"/>
        <w:rPr>
          <w:rFonts w:ascii="Courier New" w:cs="Courier New" w:eastAsia="Courier New" w:hAnsi="Courier New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hanging="360"/>
        <w:contextualSpacing w:val="1"/>
        <w:rPr>
          <w:rFonts w:ascii="Courier New" w:cs="Courier New" w:eastAsia="Courier New" w:hAnsi="Courier New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En el workspace de MATLAB se abrirá una estructura de nombre</w:t>
      </w:r>
      <w:r w:rsidDel="00000000" w:rsidR="00000000" w:rsidRPr="00000000">
        <w:rPr>
          <w:rFonts w:ascii="Courier New" w:cs="Courier New" w:eastAsia="Courier New" w:hAnsi="Courier New"/>
          <w:b w:val="0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firstLine="0"/>
        <w:contextualSpacing w:val="0"/>
        <w:rPr>
          <w:rFonts w:ascii="Courier New" w:cs="Courier New" w:eastAsia="Courier New" w:hAnsi="Courier New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</w:rPr>
        <w:drawing>
          <wp:inline distB="0" distT="0" distL="0" distR="0">
            <wp:extent cx="4160604" cy="228162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0604" cy="2281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76200</wp:posOffset>
                </wp:positionH>
                <wp:positionV relativeFrom="paragraph">
                  <wp:posOffset>1117600</wp:posOffset>
                </wp:positionV>
                <wp:extent cx="939800" cy="3556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85143" y="3611751"/>
                          <a:ext cx="921715" cy="336499"/>
                        </a:xfrm>
                        <a:prstGeom prst="ellipse">
                          <a:avLst/>
                        </a:prstGeom>
                        <a:noFill/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76200</wp:posOffset>
                </wp:positionH>
                <wp:positionV relativeFrom="paragraph">
                  <wp:posOffset>1117600</wp:posOffset>
                </wp:positionV>
                <wp:extent cx="939800" cy="355600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9800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firstLine="0"/>
        <w:contextualSpacing w:val="0"/>
        <w:rPr>
          <w:rFonts w:ascii="Courier New" w:cs="Courier New" w:eastAsia="Courier New" w:hAnsi="Courier New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firstLine="0"/>
        <w:contextualSpacing w:val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Interpretación de la estructura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firstLine="0"/>
        <w:contextualSpacing w:val="0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S es una estructura que contiene las señales de EEG de 27 sujetos de cada una de las cinco palabras y de todos los canales.  Para acceder a los datos del sujeto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firstLine="0"/>
        <w:contextualSpacing w:val="0"/>
        <w:rPr>
          <w:rFonts w:ascii="Courier New" w:cs="Courier New" w:eastAsia="Courier New" w:hAnsi="Courier New"/>
          <w:b w:val="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0"/>
          <w:sz w:val="24"/>
          <w:szCs w:val="24"/>
          <w:rtl w:val="0"/>
        </w:rPr>
        <w:t xml:space="preserve">&gt;&gt; S(numSujeto).Palabra(indicePalabra).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Epoca(indiceEpoca).</w:t>
      </w:r>
      <w:r w:rsidDel="00000000" w:rsidR="00000000" w:rsidRPr="00000000">
        <w:rPr>
          <w:rFonts w:ascii="Courier New" w:cs="Courier New" w:eastAsia="Courier New" w:hAnsi="Courier New"/>
          <w:b w:val="0"/>
          <w:sz w:val="24"/>
          <w:szCs w:val="24"/>
          <w:rtl w:val="0"/>
        </w:rPr>
        <w:t xml:space="preserve">SenalesEEG;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firstLine="0"/>
        <w:contextualSpacing w:val="0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Valores validos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firstLine="0"/>
        <w:contextualSpacing w:val="0"/>
        <w:rPr>
          <w:rFonts w:ascii="Courier New" w:cs="Courier New" w:eastAsia="Courier New" w:hAnsi="Courier New"/>
          <w:b w:val="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0"/>
          <w:sz w:val="24"/>
          <w:szCs w:val="24"/>
          <w:rtl w:val="0"/>
        </w:rPr>
        <w:t xml:space="preserve">numSujeto: puede ser del 1 al 27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firstLine="0"/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sz w:val="24"/>
          <w:szCs w:val="24"/>
          <w:rtl w:val="0"/>
        </w:rPr>
        <w:t xml:space="preserve">ndicePalabra: puede ser del 1 al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firstLine="0"/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indiceEpoca: desde 1 hasta el núme de epocas del sujeto para esa palabra</w:t>
      </w:r>
    </w:p>
    <w:tbl>
      <w:tblPr>
        <w:tblStyle w:val="Table1"/>
        <w:tblW w:w="2910.0" w:type="dxa"/>
        <w:jc w:val="center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1305"/>
        <w:tblGridChange w:id="0">
          <w:tblGrid>
            <w:gridCol w:w="1605"/>
            <w:gridCol w:w="1305"/>
          </w:tblGrid>
        </w:tblGridChange>
      </w:tblGrid>
      <w:tr>
        <w:trPr>
          <w:trHeight w:val="240" w:hRule="atLeast"/>
        </w:trPr>
        <w:tc>
          <w:tcPr>
            <w:shd w:fill="8db3e2" w:val="clea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indicePalabra</w:t>
            </w:r>
          </w:p>
        </w:tc>
        <w:tc>
          <w:tcPr>
            <w:shd w:fill="8db3e2" w:val="clea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</w:tr>
      <w:t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Arriba</w:t>
            </w:r>
          </w:p>
        </w:tc>
      </w:tr>
      <w:t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Abajo</w:t>
            </w:r>
          </w:p>
        </w:tc>
      </w:tr>
      <w:tr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Izquierda</w:t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Derecha</w:t>
            </w:r>
          </w:p>
        </w:tc>
      </w:tr>
      <w:tr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Seleccionar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firstLine="0"/>
        <w:contextualSpacing w:val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firstLine="0"/>
        <w:contextualSpacing w:val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ejemplo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firstLine="0"/>
        <w:contextualSpacing w:val="0"/>
        <w:rPr>
          <w:rFonts w:ascii="Courier New" w:cs="Courier New" w:eastAsia="Courier New" w:hAnsi="Courier New"/>
          <w:b w:val="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0"/>
          <w:sz w:val="24"/>
          <w:szCs w:val="24"/>
          <w:rtl w:val="0"/>
        </w:rPr>
        <w:t xml:space="preserve">&gt;&gt; matrizEEGSujetoPalabra=S(1).Palabra(1).Epoca(1).SenalesEEG;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firstLine="0"/>
        <w:contextualSpacing w:val="0"/>
        <w:rPr>
          <w:rFonts w:ascii="Courier New" w:cs="Courier New" w:eastAsia="Courier New" w:hAnsi="Courier New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firstLine="0"/>
        <w:contextualSpacing w:val="0"/>
        <w:rPr>
          <w:rFonts w:ascii="Courier New" w:cs="Courier New" w:eastAsia="Courier New" w:hAnsi="Courier New"/>
          <w:b w:val="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0"/>
          <w:sz w:val="24"/>
          <w:szCs w:val="24"/>
          <w:rtl w:val="0"/>
        </w:rPr>
        <w:t xml:space="preserve">matrizEEGSujeto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contiene las seña</w:t>
      </w:r>
      <w:r w:rsidDel="00000000" w:rsidR="00000000" w:rsidRPr="00000000">
        <w:rPr>
          <w:sz w:val="24"/>
          <w:szCs w:val="24"/>
          <w:rtl w:val="0"/>
        </w:rPr>
        <w:t xml:space="preserve">les de EEG para la primera epoca (o instancia) 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de la palabra 1 del sujeto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hanging="360"/>
        <w:contextualSpacing w:val="1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Las </w:t>
      </w:r>
      <w:r w:rsidDel="00000000" w:rsidR="00000000" w:rsidRPr="00000000">
        <w:rPr>
          <w:sz w:val="24"/>
          <w:szCs w:val="24"/>
          <w:rtl w:val="0"/>
        </w:rPr>
        <w:t xml:space="preserve">columnas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Courier New" w:cs="Courier New" w:eastAsia="Courier New" w:hAnsi="Courier New"/>
          <w:b w:val="0"/>
          <w:sz w:val="24"/>
          <w:szCs w:val="24"/>
          <w:rtl w:val="0"/>
        </w:rPr>
        <w:t xml:space="preserve">matrizEEGSujeto 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contienen las lecturas del EPOC para los 14 canales, el giroscopio y los marcadores; debido a la frecuencia de muestreo del EPOC de EMOTIV 128 muestras  (filas de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matrizEEGSujeto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) equivalen a 1 segundo en tiempo. </w:t>
      </w:r>
      <w:r w:rsidDel="00000000" w:rsidR="00000000" w:rsidRPr="00000000">
        <w:rPr>
          <w:rtl w:val="0"/>
        </w:rPr>
      </w:r>
    </w:p>
    <w:tbl>
      <w:tblPr>
        <w:tblStyle w:val="Table2"/>
        <w:tblW w:w="6045.0" w:type="dxa"/>
        <w:jc w:val="center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1455"/>
        <w:gridCol w:w="1680"/>
        <w:gridCol w:w="1650"/>
        <w:tblGridChange w:id="0">
          <w:tblGrid>
            <w:gridCol w:w="1260"/>
            <w:gridCol w:w="1455"/>
            <w:gridCol w:w="1680"/>
            <w:gridCol w:w="1650"/>
          </w:tblGrid>
        </w:tblGridChange>
      </w:tblGrid>
      <w:tr>
        <w:trPr>
          <w:trHeight w:val="240" w:hRule="atLeast"/>
        </w:trPr>
        <w:tc>
          <w:tcPr>
            <w:shd w:fill="8db3e2" w:val="clea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COLUMNA</w:t>
            </w:r>
          </w:p>
        </w:tc>
        <w:tc>
          <w:tcPr>
            <w:shd w:fill="8db3e2" w:val="clea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Etiqueta</w:t>
            </w:r>
          </w:p>
        </w:tc>
        <w:tc>
          <w:tcPr>
            <w:shd w:fill="8db3e2" w:val="clea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8db3e2" w:val="clea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Ubicación</w:t>
            </w:r>
          </w:p>
        </w:tc>
      </w:tr>
      <w:t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AF3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Canal de EEG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Pre-frontal</w:t>
            </w:r>
          </w:p>
        </w:tc>
      </w:tr>
      <w:t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F7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Canal de EEG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Frontal</w:t>
            </w:r>
          </w:p>
        </w:tc>
      </w:tr>
      <w:tr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Canal de EEG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Frontal</w:t>
            </w:r>
          </w:p>
        </w:tc>
      </w:tr>
      <w:tr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FC5</w:t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Canal de EEG</w:t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Fronto-central</w:t>
            </w:r>
          </w:p>
        </w:tc>
      </w:tr>
      <w:tr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Canal de EEG</w:t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</w:tr>
      <w:t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Canal de EEG</w:t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Parietal</w:t>
            </w:r>
          </w:p>
        </w:tc>
      </w:tr>
      <w:tr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Canal de EEG</w:t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Occipital</w:t>
            </w:r>
          </w:p>
        </w:tc>
      </w:tr>
      <w:tr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O2</w:t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Canal de EEG</w:t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Occipital</w:t>
            </w:r>
          </w:p>
        </w:tc>
      </w:tr>
      <w:tr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Canal de EEG</w:t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Parietal</w:t>
            </w:r>
          </w:p>
        </w:tc>
      </w:tr>
      <w:tr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T8</w:t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Canal de EEG</w:t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</w:tr>
      <w:t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FC6</w:t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Canal de EEG</w:t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Fronto-central</w:t>
            </w:r>
          </w:p>
        </w:tc>
      </w:tr>
      <w:t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F4</w:t>
            </w:r>
          </w:p>
        </w:tc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Canal de EEG</w:t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Frontal</w:t>
            </w:r>
          </w:p>
        </w:tc>
      </w:tr>
      <w:tr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F8</w:t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Canal de EEG</w:t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Frontal</w:t>
            </w:r>
          </w:p>
        </w:tc>
      </w:tr>
      <w:tr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AF4</w:t>
            </w:r>
          </w:p>
        </w:tc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Canal de EEG</w:t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Pre-frontal</w:t>
            </w:r>
          </w:p>
        </w:tc>
      </w:tr>
      <w:tr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GIROX</w:t>
            </w:r>
          </w:p>
        </w:tc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Giroscopio en x</w:t>
            </w:r>
          </w:p>
        </w:tc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GIROY</w:t>
            </w:r>
          </w:p>
        </w:tc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Giroscopio en y</w:t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MARKER</w:t>
            </w:r>
          </w:p>
        </w:tc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Marcador</w:t>
            </w:r>
          </w:p>
        </w:tc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/>
        <w:contextualSpacing w:val="1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Se</w:t>
      </w:r>
      <w:r w:rsidDel="00000000" w:rsidR="00000000" w:rsidRPr="00000000">
        <w:rPr>
          <w:rtl w:val="0"/>
        </w:rPr>
        <w:t xml:space="preserve"> puede graficar o procesar cada época según se requiera. Aquí un ejemplo de cómo graficar la primera instancia del canal AF3 (columna 1).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contextualSpacing w:val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&gt;&gt; plot(matrizEEGSujeto(:,1))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firstLine="0"/>
        <w:contextualSpacing w:val="0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</w:rPr>
        <w:drawing>
          <wp:inline distB="0" distT="0" distL="0" distR="0">
            <wp:extent cx="2495064" cy="2217834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064" cy="2217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contextualSpacing w:val="0"/>
        <w:rPr/>
      </w:pPr>
      <w:r w:rsidDel="00000000" w:rsidR="00000000" w:rsidRPr="00000000">
        <w:rPr>
          <w:rtl w:val="0"/>
        </w:rPr>
        <w:t xml:space="preserve">De igual manera, se pueden graficar todos los canales, únicamente colocando la expresión “1:14” (Ver la tabla de descripción de las columnas de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matrizEEGSujeto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firstLine="0"/>
        <w:contextualSpacing w:val="0"/>
        <w:rPr>
          <w:rFonts w:ascii="Courier New" w:cs="Courier New" w:eastAsia="Courier New" w:hAnsi="Courier New"/>
          <w:b w:val="0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Courier New" w:cs="Courier New" w:eastAsia="Courier New" w:hAnsi="Courier New"/>
          <w:b w:val="0"/>
          <w:sz w:val="22"/>
          <w:szCs w:val="22"/>
          <w:rtl w:val="0"/>
        </w:rPr>
        <w:t xml:space="preserve">&gt;&gt; plot(matrizEEGSujeto(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sz w:val="22"/>
          <w:szCs w:val="22"/>
          <w:rtl w:val="0"/>
        </w:rPr>
        <w:t xml:space="preserve">,1:14))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firstLine="0"/>
        <w:contextualSpacing w:val="0"/>
        <w:jc w:val="center"/>
        <w:rPr>
          <w:rFonts w:ascii="Calibri" w:cs="Calibri" w:eastAsia="Calibri" w:hAnsi="Calibri"/>
          <w:b w:val="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u w:val="single"/>
        </w:rPr>
        <w:drawing>
          <wp:inline distB="0" distT="0" distL="0" distR="0">
            <wp:extent cx="3186113" cy="2826894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2826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jc w:val="both"/>
        <w:rPr/>
      </w:pPr>
      <w:r w:rsidDel="00000000" w:rsidR="00000000" w:rsidRPr="00000000">
        <w:rPr>
          <w:rtl w:val="0"/>
        </w:rPr>
        <w:t xml:space="preserve">Para visualizar sin el Offset,  usar el script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EEG=simuladorTestBench(matrizEEGSujeto(:,1:14));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plot(EEG);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73718" cy="273219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718" cy="2732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1" w:type="default"/>
      <w:pgSz w:h="15840" w:w="12240"/>
      <w:pgMar w:bottom="1440" w:top="1440" w:left="1797" w:right="179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contextualSpacing w:val="0"/>
      <w:rPr>
        <w:rFonts w:ascii="Calibri" w:cs="Calibri" w:eastAsia="Calibri" w:hAnsi="Calibri"/>
        <w:b w:val="1"/>
        <w:sz w:val="20"/>
        <w:szCs w:val="20"/>
      </w:rPr>
    </w:pPr>
    <w:r w:rsidDel="00000000" w:rsidR="00000000" w:rsidRPr="00000000">
      <w:rPr>
        <w:rFonts w:ascii="Calibri" w:cs="Calibri" w:eastAsia="Calibri" w:hAnsi="Calibri"/>
        <w:b w:val="1"/>
        <w:sz w:val="20"/>
        <w:szCs w:val="20"/>
        <w:rtl w:val="0"/>
      </w:rPr>
      <w:t xml:space="preserve">(En revisión hasta 1</w:t>
    </w:r>
    <w:r w:rsidDel="00000000" w:rsidR="00000000" w:rsidRPr="00000000">
      <w:rPr>
        <w:b w:val="1"/>
        <w:sz w:val="20"/>
        <w:szCs w:val="20"/>
        <w:rtl w:val="0"/>
      </w:rPr>
      <w:t xml:space="preserve">4</w:t>
    </w:r>
    <w:r w:rsidDel="00000000" w:rsidR="00000000" w:rsidRPr="00000000">
      <w:rPr>
        <w:rFonts w:ascii="Calibri" w:cs="Calibri" w:eastAsia="Calibri" w:hAnsi="Calibri"/>
        <w:b w:val="1"/>
        <w:sz w:val="20"/>
        <w:szCs w:val="20"/>
        <w:rtl w:val="0"/>
      </w:rPr>
      <w:t xml:space="preserve"> de mayo de 2016)</w:t>
    </w:r>
  </w:p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992" w:before="0" w:line="240" w:lineRule="auto"/>
      <w:contextualSpacing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contextualSpacing w:val="0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  <w:contextualSpacing w:val="0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5.png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