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A6314"/>
          <w:sz w:val="17"/>
        </w:rPr>
        <w:t>REPORT COMPLETO  ·  MODELLO CER  ·  SETTEMBRE 2026</w:t>
      </w:r>
    </w:p>
    <w:p>
      <w:pPr>
        <w:spacing w:after="80"/>
      </w:pPr>
      <w:r>
        <w:rPr>
          <w:rFonts w:ascii="Calibri Light" w:hAnsi="Calibri Light"/>
          <w:b/>
          <w:sz w:val="52"/>
        </w:rPr>
        <w:t>Sedici regole, cinque criteri</w:t>
      </w:r>
    </w:p>
    <w:p>
      <w:r>
        <w:rPr>
          <w:b w:val="0"/>
          <w:i/>
          <w:color w:val="5A646E"/>
          <w:sz w:val="24"/>
        </w:rPr>
        <w:t>Come il modello divide l'incentivo di una comunità energetica, con quali criteri giudica il risultato, e cosa dicono i numeri quando si confrontano sedici regole su sette comunità diverse.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31"/>
            <w:shd w:val="clear" w:fill="E8EBEE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531"/>
            <w:shd w:val="clear" w:fill="E8EBEE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531"/>
            <w:shd w:val="clear" w:fill="E8EBEE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531"/>
            <w:shd w:val="clear" w:fill="E8EBEE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531"/>
            <w:shd w:val="clear" w:fill="E8EBEE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531"/>
            <w:shd w:val="clear" w:fill="E8EBEE"/>
          </w:tcPr>
          <w:p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sz w:val="19"/>
              </w:rPr>
              <w:t>16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sz w:val="19"/>
              </w:rPr>
              <w:t>18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sz w:val="19"/>
              </w:rPr>
              <w:t>120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sz w:val="19"/>
              </w:rPr>
              <w:t>2 160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sz w:val="19"/>
              </w:rPr>
              <w:t>52%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sz w:val="19"/>
              </w:rPr>
              <w:t>regole di</w:t>
              <w:br/>
              <w:t>ripartizione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sz w:val="19"/>
              </w:rPr>
              <w:t>indicatori di</w:t>
              <w:br/>
              <w:t>valutazione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sz w:val="19"/>
              </w:rPr>
              <w:t>comunità</w:t>
              <w:br/>
              <w:t>simulate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sz w:val="19"/>
              </w:rPr>
              <w:t>coppie di metodi</w:t>
              <w:br/>
              <w:t>per confronto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sz w:val="19"/>
              </w:rPr>
              <w:t>graduatorie</w:t>
              <w:br/>
              <w:t>esaminate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sz w:val="19"/>
              </w:rPr>
              <w:t>si invertono</w:t>
              <w:br/>
              <w:t>cambiando comunità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 Light" w:hAnsi="Calibri Light"/>
          <w:color w:val="1A1F25"/>
        </w:rPr>
        <w:t>Parte 01 · Cosa fa il modello</w:t>
      </w:r>
    </w:p>
    <w:p>
      <w:r>
        <w:rPr>
          <w:b w:val="0"/>
          <w:i w:val="0"/>
        </w:rPr>
        <w:t>Una comunità energetica raccoglie un incentivo pubblico sull'energia che i suoi membri riescono a condividere. Il modello calcola quanto vale quell'incentivo, lo divide fra i membri in sedici modi diversi, e poi giudica quale divisione sia più equa — sapendo che «equa» vuol dire almeno cinque cose diverse.</w:t>
      </w:r>
    </w:p>
    <w:p>
      <w:pPr>
        <w:pStyle w:val="Heading2"/>
      </w:pPr>
      <w:r>
        <w:rPr>
          <w:rFonts w:ascii="Calibri Light" w:hAnsi="Calibri Light"/>
          <w:color w:val="1A1F25"/>
        </w:rPr>
        <w:t>Il meccanismo</w:t>
      </w:r>
    </w:p>
    <w:p>
      <w:r>
        <w:rPr>
          <w:b w:val="0"/>
          <w:i w:val="0"/>
        </w:rPr>
        <w:t xml:space="preserve">In una CER a condivisione </w:t>
      </w:r>
      <w:r>
        <w:rPr>
          <w:b w:val="0"/>
          <w:i/>
        </w:rPr>
        <w:t>virtuale</w:t>
      </w:r>
      <w:r>
        <w:rPr>
          <w:b w:val="0"/>
          <w:i w:val="0"/>
        </w:rPr>
        <w:t xml:space="preserve"> — quella prevista dalla normativa italiana — nessuno scambia fisicamente energia con nessuno. Ogni membro resta col suo contatore e col suo contratto. Quello che succede è contabile: ora per ora si guarda quanta energia la comunità ha immesso in rete e quanta ne ha prelevata, e </w:t>
      </w:r>
      <w:r>
        <w:rPr>
          <w:b/>
          <w:i w:val="0"/>
        </w:rPr>
        <w:t>il minore dei due valori è l'energia condivisa</w:t>
      </w:r>
      <w:r>
        <w:rPr>
          <w:b w:val="0"/>
          <w:i w:val="0"/>
        </w:rPr>
        <w:t>. Su quella lo Stato paga una tariffa premio.</w:t>
      </w:r>
    </w:p>
    <w:p>
      <w:r>
        <w:rPr>
          <w:b w:val="0"/>
          <w:i w:val="0"/>
        </w:rPr>
        <w:t xml:space="preserve">Quel denaro arriva alla comunità come somma unica. Dividerlo è una </w:t>
      </w:r>
      <w:r>
        <w:rPr>
          <w:b/>
          <w:i w:val="0"/>
        </w:rPr>
        <w:t>scelta di governance</w:t>
      </w:r>
      <w:r>
        <w:rPr>
          <w:b w:val="0"/>
          <w:i w:val="0"/>
        </w:rPr>
        <w:t>, non un calcolo obbligato: la norma non dice come farlo. È esattamente il problema che il modello studia.</w:t>
      </w:r>
    </w:p>
    <w:p>
      <w:pPr>
        <w:pStyle w:val="Heading2"/>
      </w:pPr>
      <w:r>
        <w:rPr>
          <w:rFonts w:ascii="Calibri Light" w:hAnsi="Calibri Light"/>
          <w:color w:val="1A1F25"/>
        </w:rPr>
        <w:t>Due stadi</w:t>
      </w:r>
    </w:p>
    <w:p>
      <w:r>
        <w:rPr>
          <w:b w:val="0"/>
          <w:i w:val="0"/>
        </w:rPr>
        <w:t xml:space="preserve">Il </w:t>
      </w:r>
      <w:r>
        <w:rPr>
          <w:b/>
          <w:i w:val="0"/>
        </w:rPr>
        <w:t>primo stadio</w:t>
      </w:r>
      <w:r>
        <w:rPr>
          <w:b w:val="0"/>
          <w:i w:val="0"/>
        </w:rPr>
        <w:t xml:space="preserve">, in Python, genera i profili di consumo orari dei membri — famiglie, uffici, piccola industria, negozi — producendo un CSV con una colonna per membro e 8 760 righe, una per ora dell'anno. Il </w:t>
      </w:r>
      <w:r>
        <w:rPr>
          <w:b/>
          <w:i w:val="0"/>
        </w:rPr>
        <w:t>secondo stadio</w:t>
      </w:r>
      <w:r>
        <w:rPr>
          <w:b w:val="0"/>
          <w:i w:val="0"/>
        </w:rPr>
        <w:t>, in MATLAB, prende quei profili più le curve di produzione dei fotovoltaici, calcola l'energia condivisa ora per ora, la valorizza con la tariffa vigente, e da lì fa il lavoro vero: ripartisce, misura, confronta.</w:t>
      </w:r>
    </w:p>
    <w:p>
      <w:pPr>
        <w:spacing w:before="160" w:after="40"/>
        <w:ind w:left="283"/>
      </w:pPr>
      <w:r>
        <w:rPr>
          <w:b/>
          <w:color w:val="165C9E"/>
          <w:sz w:val="17"/>
        </w:rPr>
        <w:t>UNA SCELTA CHE RENDE POSSIBILE LA RICERCA</w:t>
      </w:r>
    </w:p>
    <w:p>
      <w:pPr>
        <w:spacing w:after="120"/>
        <w:ind w:left="283"/>
      </w:pPr>
      <w:r>
        <w:rPr>
          <w:b w:val="0"/>
          <w:i w:val="0"/>
        </w:rPr>
        <w:t xml:space="preserve">Le comunità sono </w:t>
      </w:r>
      <w:r>
        <w:rPr>
          <w:b/>
          <w:i w:val="0"/>
        </w:rPr>
        <w:t>dati, non codice</w:t>
      </w:r>
      <w:r>
        <w:rPr>
          <w:b w:val="0"/>
          <w:i w:val="0"/>
        </w:rPr>
        <w:t>. Aggiungerne una allo studio significa mettere un file di testo in una cartella — il nome dice già la composizione (</w:t>
      </w:r>
      <w:r>
        <w:rPr>
          <w:rFonts w:ascii="Consolas" w:hAnsi="Consolas"/>
          <w:b w:val="0"/>
          <w:i w:val="0"/>
          <w:sz w:val="19"/>
        </w:rPr>
        <w:t>CER_2_5_0</w:t>
      </w:r>
      <w:r>
        <w:rPr>
          <w:b w:val="0"/>
          <w:i w:val="0"/>
        </w:rPr>
        <w:t xml:space="preserve"> = due consumatori, cinque prosumer, zero produttori puri) e il codice non va toccato. È quello che permette di studiare la composizione, che è il cuore della domanda di ricerca.</w:t>
      </w:r>
    </w:p>
    <w:p>
      <w:r>
        <w:br w:type="page"/>
      </w:r>
    </w:p>
    <w:p>
      <w:pPr>
        <w:pStyle w:val="Heading1"/>
      </w:pPr>
      <w:r>
        <w:rPr>
          <w:rFonts w:ascii="Calibri Light" w:hAnsi="Calibri Light"/>
          <w:color w:val="1A1F25"/>
        </w:rPr>
        <w:t>Parte 02 · Le sedici regole di ripartizione</w:t>
      </w:r>
    </w:p>
    <w:p>
      <w:r>
        <w:rPr>
          <w:b w:val="0"/>
          <w:i w:val="0"/>
        </w:rPr>
        <w:t>Tutte ricevono lo stesso montepremi e gli stessi profili, e restituiscono la stessa cosa: quanti euro a ciascun membro. Cambia solo l'idea di merito che incorporano.</w:t>
      </w:r>
    </w:p>
    <w:p>
      <w:pPr>
        <w:pStyle w:val="Heading2"/>
      </w:pPr>
      <w:r>
        <w:rPr>
          <w:rFonts w:ascii="Calibri Light" w:hAnsi="Calibri Light"/>
          <w:color w:val="1A1F25"/>
        </w:rPr>
        <w:t>Teoria dei giochi cooperativi — 4 regole</w:t>
      </w:r>
    </w:p>
    <w:p>
      <w:r>
        <w:rPr>
          <w:b w:val="0"/>
          <w:i w:val="0"/>
          <w:color w:val="5A646E"/>
        </w:rPr>
        <w:t>Trattano la comunità come una coalizione e si chiedono quanto varrebbe ogni possibile sottogruppo. Le più rigorose e le più costose.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  <w:shd w:val="clear" w:fill="E8EBEE"/>
          </w:tcPr>
          <w:p>
            <w:r/>
            <w:r>
              <w:rPr>
                <w:b/>
                <w:sz w:val="18"/>
              </w:rPr>
              <w:t>Regola</w:t>
            </w:r>
          </w:p>
        </w:tc>
        <w:tc>
          <w:tcPr>
            <w:tcW w:type="dxa" w:w="6690"/>
            <w:shd w:val="clear" w:fill="E8EBEE"/>
          </w:tcPr>
          <w:p>
            <w:r/>
            <w:r>
              <w:rPr>
                <w:b/>
                <w:sz w:val="18"/>
              </w:rPr>
              <w:t>Logica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Shapley value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sz w:val="19"/>
              </w:rPr>
              <w:t>Dà a ciascuno la media di quanto aggiunge alla comunità, su tutti gli ordini possibili di ingresso. Il riferimento classico di equità.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Nucleolo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sz w:val="19"/>
              </w:rPr>
              <w:t>Cerca la divisione che rende meno scontento possibile il sottogruppo più scontento. Massima stabilità.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Nash Bargaining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sz w:val="19"/>
              </w:rPr>
              <w:t>Quota proporzionale al contributo marginale alla comunità completa, in forma chiusa.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Variance Least Core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sz w:val="19"/>
              </w:rPr>
              <w:t>Fra tutte le divisioni stabili, sceglie quella più vicina alle parti uguali. Unica delle quattro che scala su comunità grandi.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 Light" w:hAnsi="Calibri Light"/>
          <w:color w:val="1A1F25"/>
        </w:rPr>
        <w:t>Approssimazioni dello Shapley — 3 regole</w:t>
      </w:r>
    </w:p>
    <w:p>
      <w:r>
        <w:rPr>
          <w:b w:val="0"/>
          <w:i w:val="0"/>
          <w:color w:val="5A646E"/>
        </w:rPr>
        <w:t>Il valore di Shapley esatto diventa impossibile oltre una ventina di membri. Queste lo stimano a costo molto più basso.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  <w:shd w:val="clear" w:fill="E8EBEE"/>
          </w:tcPr>
          <w:p>
            <w:r/>
            <w:r>
              <w:rPr>
                <w:b/>
                <w:sz w:val="18"/>
              </w:rPr>
              <w:t>Regola</w:t>
            </w:r>
          </w:p>
        </w:tc>
        <w:tc>
          <w:tcPr>
            <w:tcW w:type="dxa" w:w="6690"/>
            <w:shd w:val="clear" w:fill="E8EBEE"/>
          </w:tcPr>
          <w:p>
            <w:r/>
            <w:r>
              <w:rPr>
                <w:b/>
                <w:sz w:val="18"/>
              </w:rPr>
              <w:t>Logica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Marginal Contribution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sz w:val="19"/>
              </w:rPr>
              <w:t>Tiene un solo contributo invece della media di tutti: quanto perderebbe la comunità se quel membro se ne andasse.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Stratified Expected Value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sz w:val="19"/>
              </w:rPr>
              <w:t>Raggruppa i membri per profilo simile e stima il contributo di ogni gruppo con un membro «medio». Deterministica.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Adaptive Sampling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sz w:val="19"/>
              </w:rPr>
              <w:t>Campiona a caso un sottoinsieme di coalizioni, concentrandosi dove la stima è più incerta. L'unica regola non deterministica del progetto.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 Light" w:hAnsi="Calibri Light"/>
          <w:color w:val="1A1F25"/>
        </w:rPr>
        <w:t>Regole semplificate — 4 regole</w:t>
      </w:r>
    </w:p>
    <w:p>
      <w:r>
        <w:rPr>
          <w:b w:val="0"/>
          <w:i w:val="0"/>
          <w:color w:val="5A646E"/>
        </w:rPr>
        <w:t>Aritmetica elementare, spiegabili in una frase a un'assemblea di soci. Sono quelle che le comunità reali usano davvero.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  <w:shd w:val="clear" w:fill="E8EBEE"/>
          </w:tcPr>
          <w:p>
            <w:r/>
            <w:r>
              <w:rPr>
                <w:b/>
                <w:sz w:val="18"/>
              </w:rPr>
              <w:t>Regola</w:t>
            </w:r>
          </w:p>
        </w:tc>
        <w:tc>
          <w:tcPr>
            <w:tcW w:type="dxa" w:w="6690"/>
            <w:shd w:val="clear" w:fill="E8EBEE"/>
          </w:tcPr>
          <w:p>
            <w:r/>
            <w:r>
              <w:rPr>
                <w:b/>
                <w:sz w:val="18"/>
              </w:rPr>
              <w:t>Logica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Equal Split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sz w:val="19"/>
              </w:rPr>
              <w:t>Il montepremi diviso per il numero di membri. Nient'altro.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Proportional to Consumption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sz w:val="19"/>
              </w:rPr>
              <w:t>Quota proporzionale a quanto ciascuno consuma nelle ore in cui la comunità condivide energia.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Remuneration Model 1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sz w:val="19"/>
              </w:rPr>
              <w:t>Divide prima fra consumatori e produttori in proporzione alla potenza installata dei due gruppi, poi ripartisce dentro ciascuno.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Cascading Tree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sz w:val="19"/>
              </w:rPr>
              <w:t>L'incentivo scende lungo un albero di categorie — quota fissa uguale per tutti, poi variabile fra chi preleva e chi immette — con pesi decisi dalla governance.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 Light" w:hAnsi="Calibri Light"/>
          <w:color w:val="1A1F25"/>
        </w:rPr>
        <w:t>Regole basate sul comportamento — 3 regole</w:t>
      </w:r>
    </w:p>
    <w:p>
      <w:r>
        <w:rPr>
          <w:b w:val="0"/>
          <w:i w:val="0"/>
          <w:color w:val="5A646E"/>
        </w:rPr>
        <w:t>Non premiano quello che un membro è (quanto consuma, cosa possiede) ma quello che fa: consumare quando la comunità produce.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  <w:shd w:val="clear" w:fill="E8EBEE"/>
          </w:tcPr>
          <w:p>
            <w:r/>
            <w:r>
              <w:rPr>
                <w:b/>
                <w:sz w:val="18"/>
              </w:rPr>
              <w:t>Regola</w:t>
            </w:r>
          </w:p>
        </w:tc>
        <w:tc>
          <w:tcPr>
            <w:tcW w:type="dxa" w:w="6690"/>
            <w:shd w:val="clear" w:fill="E8EBEE"/>
          </w:tcPr>
          <w:p>
            <w:r/>
            <w:r>
              <w:rPr>
                <w:b/>
                <w:sz w:val="18"/>
              </w:rPr>
              <w:t>Logica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Pearson Key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sz w:val="19"/>
              </w:rPr>
              <w:t>Misura giorno per giorno quanto il profilo di consumo del membro assomiglia alla curva di produzione della comunità, e ripartisce in proporzione.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Pearson-Sharing Rate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sz w:val="19"/>
              </w:rPr>
              <w:t>Come sopra, ma penalizza anche chi in una certa ora consuma più di quanto la comunità stia immettendo.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Similarity-Utilization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sz w:val="19"/>
              </w:rPr>
              <w:t>Combina sincronismo (θ) e sobrietà (η) in un fattore giornaliero. Premia solo chi fa entrambe le cose. È la regola che fissa l'unità di misura della forza incentivante (Parte 04).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 Light" w:hAnsi="Calibri Light"/>
          <w:color w:val="1A1F25"/>
        </w:rPr>
        <w:t>Regole con criteri sociali — 2 regole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  <w:shd w:val="clear" w:fill="E8EBEE"/>
          </w:tcPr>
          <w:p>
            <w:r/>
            <w:r>
              <w:rPr>
                <w:b/>
                <w:sz w:val="18"/>
              </w:rPr>
              <w:t>Regola</w:t>
            </w:r>
          </w:p>
        </w:tc>
        <w:tc>
          <w:tcPr>
            <w:tcW w:type="dxa" w:w="6690"/>
            <w:shd w:val="clear" w:fill="E8EBEE"/>
          </w:tcPr>
          <w:p>
            <w:r/>
            <w:r>
              <w:rPr>
                <w:b/>
                <w:sz w:val="18"/>
              </w:rPr>
              <w:t>Logica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Weighted Solidarity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sz w:val="19"/>
              </w:rPr>
              <w:t>Il peso somma una componente tecnica e una di solidarietà, tarata sul costo unitario dell'energia come indizio di povertà energetica.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Tri-level EP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sz w:val="19"/>
              </w:rPr>
              <w:t>Tre livelli: una quota riservata ai membri in povertà energetica, il resto diviso fra consumo e proprietà. PROVVISORIA: gira su undici dati segnaposto, non va usata per conclusioni.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 Light" w:hAnsi="Calibri Light"/>
          <w:color w:val="1A1F25"/>
        </w:rPr>
        <w:t>Parte 03 · I diciotto indicatori, in cinque gruppi</w:t>
      </w:r>
    </w:p>
    <w:p>
      <w:r>
        <w:rPr>
          <w:b w:val="0"/>
          <w:i w:val="0"/>
        </w:rPr>
        <w:t>Gli indicatori non misurano la stessa cosa in modi diversi. Rispondono a domande diverse, che possono dare risposte opposte sullo stesso identico risultato.</w:t>
      </w:r>
    </w:p>
    <w:p>
      <w:pPr>
        <w:pStyle w:val="Heading2"/>
      </w:pPr>
      <w:r>
        <w:rPr>
          <w:rFonts w:ascii="Calibri Light" w:hAnsi="Calibri Light"/>
          <w:color w:val="1A1F25"/>
        </w:rPr>
        <w:t>1 · Uniformità — quanto è divisa in parti uguali · 8 indicatori</w:t>
      </w:r>
    </w:p>
    <w:p>
      <w:r>
        <w:rPr>
          <w:b w:val="0"/>
          <w:i w:val="0"/>
          <w:color w:val="5A646E"/>
          <w:sz w:val="19"/>
        </w:rPr>
        <w:t>Fonte: Dynge &amp; Cali, Applied Energy 384 (2025).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val="clear" w:fill="E8EBEE"/>
          </w:tcPr>
          <w:p>
            <w:r/>
            <w:r>
              <w:rPr>
                <w:b/>
                <w:sz w:val="18"/>
              </w:rPr>
              <w:t>Indicatore</w:t>
            </w:r>
          </w:p>
        </w:tc>
        <w:tc>
          <w:tcPr>
            <w:tcW w:type="dxa" w:w="737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Eq.</w:t>
            </w:r>
          </w:p>
        </w:tc>
        <w:tc>
          <w:tcPr>
            <w:tcW w:type="dxa" w:w="6293"/>
            <w:shd w:val="clear" w:fill="E8EBEE"/>
          </w:tcPr>
          <w:p>
            <w:r/>
            <w:r>
              <w:rPr>
                <w:b/>
                <w:sz w:val="18"/>
              </w:rPr>
              <w:t>Cosa misura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MinMax_pro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16</w:t>
            </w:r>
          </w:p>
        </w:tc>
        <w:tc>
          <w:tcPr>
            <w:tcW w:type="dxa" w:w="6293"/>
          </w:tcPr>
          <w:p>
            <w:pPr>
              <w:spacing w:after="40"/>
            </w:pPr>
            <w:r/>
            <w:r>
              <w:rPr>
                <w:sz w:val="19"/>
              </w:rPr>
              <w:t>rapporto min/max della quota di surplus condivisa fra i prosumer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MinMax_con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17</w:t>
            </w:r>
          </w:p>
        </w:tc>
        <w:tc>
          <w:tcPr>
            <w:tcW w:type="dxa" w:w="6293"/>
          </w:tcPr>
          <w:p>
            <w:pPr>
              <w:spacing w:after="40"/>
            </w:pPr>
            <w:r/>
            <w:r>
              <w:rPr>
                <w:sz w:val="19"/>
              </w:rPr>
              <w:t>rapporto min/max del volume di condivisa ricevuto dai consumatori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QoS_orig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12</w:t>
            </w:r>
          </w:p>
        </w:tc>
        <w:tc>
          <w:tcPr>
            <w:tcW w:type="dxa" w:w="6293"/>
          </w:tcPr>
          <w:p>
            <w:pPr>
              <w:spacing w:after="40"/>
            </w:pPr>
            <w:r/>
            <w:r>
              <w:rPr>
                <w:sz w:val="19"/>
              </w:rPr>
              <w:t>indice di Jain sui volumi di energia scambiati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QoS_new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18</w:t>
            </w:r>
          </w:p>
        </w:tc>
        <w:tc>
          <w:tcPr>
            <w:tcW w:type="dxa" w:w="6293"/>
          </w:tcPr>
          <w:p>
            <w:pPr>
              <w:spacing w:after="40"/>
            </w:pPr>
            <w:r/>
            <w:r>
              <w:rPr>
                <w:sz w:val="19"/>
              </w:rPr>
              <w:t>QoS separato per ruolo, prosumer e consumatori pesati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EI_orig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15</w:t>
            </w:r>
          </w:p>
        </w:tc>
        <w:tc>
          <w:tcPr>
            <w:tcW w:type="dxa" w:w="6293"/>
          </w:tcPr>
          <w:p>
            <w:pPr>
              <w:spacing w:after="40"/>
            </w:pPr>
            <w:r/>
            <w:r>
              <w:rPr>
                <w:sz w:val="19"/>
              </w:rPr>
              <w:t>1 − Gini dei risparmi in bolletta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EI_new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19</w:t>
            </w:r>
          </w:p>
        </w:tc>
        <w:tc>
          <w:tcPr>
            <w:tcW w:type="dxa" w:w="6293"/>
          </w:tcPr>
          <w:p>
            <w:pPr>
              <w:spacing w:after="40"/>
            </w:pPr>
            <w:r/>
            <w:r>
              <w:rPr>
                <w:sz w:val="19"/>
              </w:rPr>
              <w:t>EI separato per ruolo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Jain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6293"/>
          </w:tcPr>
          <w:p>
            <w:pPr>
              <w:spacing w:after="40"/>
            </w:pPr>
            <w:r/>
            <w:r>
              <w:rPr>
                <w:sz w:val="19"/>
              </w:rPr>
              <w:t>l'indice di Jain grezzo, nucleo del QoS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Gini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6293"/>
          </w:tcPr>
          <w:p>
            <w:pPr>
              <w:spacing w:after="40"/>
            </w:pPr>
            <w:r/>
            <w:r>
              <w:rPr>
                <w:sz w:val="19"/>
              </w:rPr>
              <w:t>il Gini grezzo, nucleo dell'EI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 Light" w:hAnsi="Calibri Light"/>
          <w:color w:val="1A1F25"/>
        </w:rPr>
        <w:t>2 · Merito — quanto rispecchia il contributo di ciascuno · 3 indicatori</w:t>
      </w:r>
    </w:p>
    <w:p>
      <w:r>
        <w:rPr>
          <w:b w:val="0"/>
          <w:i w:val="0"/>
          <w:color w:val="5A646E"/>
          <w:sz w:val="19"/>
        </w:rPr>
        <w:t>Fonte: Casalicchio et al., Applied Energy 310 (2022).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  <w:shd w:val="clear" w:fill="E8EBEE"/>
          </w:tcPr>
          <w:p>
            <w:r/>
            <w:r>
              <w:rPr>
                <w:b/>
                <w:sz w:val="18"/>
              </w:rPr>
              <w:t>Indicatore</w:t>
            </w:r>
          </w:p>
        </w:tc>
        <w:tc>
          <w:tcPr>
            <w:tcW w:type="dxa" w:w="7030"/>
            <w:shd w:val="clear" w:fill="E8EBEE"/>
          </w:tcPr>
          <w:p>
            <w:r/>
            <w:r>
              <w:rPr>
                <w:b/>
                <w:sz w:val="18"/>
              </w:rPr>
              <w:t>Cosa misura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FairnessIndex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sz w:val="19"/>
              </w:rPr>
              <w:t>distanza fra la quota ricevuta e quella «giusta» secondo il contributo marginale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Sigma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sz w:val="19"/>
              </w:rPr>
              <w:t>quanto è dispersa quella distanza fra i membri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QuoteNulle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sz w:val="19"/>
              </w:rPr>
              <w:t>quanti membri restano a zero euro — serve a leggere correttamente il Fairness Index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 Light" w:hAnsi="Calibri Light"/>
          <w:color w:val="1A1F25"/>
        </w:rPr>
        <w:t>3 · Stabilità — se la comunità regge · 2 indicatori</w:t>
      </w:r>
    </w:p>
    <w:p>
      <w:r>
        <w:rPr>
          <w:b w:val="0"/>
          <w:i w:val="0"/>
          <w:color w:val="5A646E"/>
          <w:sz w:val="19"/>
        </w:rPr>
        <w:t>Fonte: Volpato et al., Energies 17 (2024), eq. 23. L'unico gruppo dove più basso è meglio, e dove i valori possono scendere sotto zero.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  <w:shd w:val="clear" w:fill="E8EBEE"/>
          </w:tcPr>
          <w:p>
            <w:r/>
            <w:r>
              <w:rPr>
                <w:b/>
                <w:sz w:val="18"/>
              </w:rPr>
              <w:t>Indicatore</w:t>
            </w:r>
          </w:p>
        </w:tc>
        <w:tc>
          <w:tcPr>
            <w:tcW w:type="dxa" w:w="7030"/>
            <w:shd w:val="clear" w:fill="E8EBEE"/>
          </w:tcPr>
          <w:p>
            <w:r/>
            <w:r>
              <w:rPr>
                <w:b/>
                <w:sz w:val="18"/>
              </w:rPr>
              <w:t>Cosa misura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EccessoMax_EUR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sz w:val="19"/>
              </w:rPr>
              <w:t>il guadagno più grande che un sottogruppo otterrebbe uscendo dalla comunità — se negativo, nessuno ci guadagna a uscire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CoalizioniInstabili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sz w:val="19"/>
              </w:rPr>
              <w:t>quanti sottogruppi avrebbero effettivamente convenienza a farlo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 Light" w:hAnsi="Calibri Light"/>
          <w:color w:val="1A1F25"/>
        </w:rPr>
        <w:t>4 · Comportamento — quanto premia il sincronismo · 4 indicatori</w:t>
      </w:r>
    </w:p>
    <w:p>
      <w:r>
        <w:rPr>
          <w:b w:val="0"/>
          <w:i w:val="0"/>
          <w:color w:val="5A646E"/>
          <w:sz w:val="19"/>
        </w:rPr>
        <w:t>Costruito per questa tesi, non presente in letteratura. Vedi Parte 04.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494"/>
            <w:shd w:val="clear" w:fill="E8EBEE"/>
          </w:tcPr>
          <w:p>
            <w:r/>
            <w:r>
              <w:rPr>
                <w:b/>
                <w:sz w:val="18"/>
              </w:rPr>
              <w:t>Indicatore</w:t>
            </w:r>
          </w:p>
        </w:tc>
        <w:tc>
          <w:tcPr>
            <w:tcW w:type="dxa" w:w="6576"/>
            <w:shd w:val="clear" w:fill="E8EBEE"/>
          </w:tcPr>
          <w:p>
            <w:r/>
            <w:r>
              <w:rPr>
                <w:b/>
                <w:sz w:val="18"/>
              </w:rPr>
              <w:t>Cosa misura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ForzaIncentivante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sz w:val="19"/>
              </w:rPr>
              <w:t>quanto la quota segue il sincronismo consumo/produzione, sui profili NETTI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AllineamentoVirtu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sz w:val="19"/>
              </w:rPr>
              <w:t>la sola direzione del premio (coseno), senza l'intensità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ForzaIncentivante_lordo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sz w:val="19"/>
              </w:rPr>
              <w:t>come sopra, sui profili LORDI (dietro contatore)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AllineamentoVirtu_lordo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sz w:val="19"/>
              </w:rPr>
              <w:t>direzione, sui profili lordi</w:t>
            </w:r>
          </w:p>
        </w:tc>
      </w:tr>
    </w:tbl>
    <w:p>
      <w:pPr>
        <w:spacing w:after="80"/>
      </w:pPr>
    </w:p>
    <w:p>
      <w:pPr>
        <w:spacing w:before="160" w:after="40"/>
        <w:ind w:left="283"/>
      </w:pPr>
      <w:r>
        <w:rPr>
          <w:b/>
          <w:color w:val="9A6314"/>
          <w:sz w:val="17"/>
        </w:rPr>
        <w:t>QUESTI QUATTRO NON HANNO VERSO NORMATIVO</w:t>
      </w:r>
    </w:p>
    <w:p>
      <w:pPr>
        <w:spacing w:after="120"/>
        <w:ind w:left="283"/>
      </w:pPr>
      <w:r>
        <w:rPr>
          <w:b w:val="0"/>
          <w:i w:val="0"/>
        </w:rPr>
        <w:t xml:space="preserve">Nella tabella dei versi hanno </w:t>
      </w:r>
      <w:r>
        <w:rPr>
          <w:rFonts w:ascii="Consolas" w:hAnsi="Consolas"/>
          <w:b w:val="0"/>
          <w:i w:val="0"/>
          <w:sz w:val="19"/>
        </w:rPr>
        <w:t>Normativo = 0</w:t>
      </w:r>
      <w:r>
        <w:rPr>
          <w:b w:val="0"/>
          <w:i w:val="0"/>
        </w:rPr>
        <w:t xml:space="preserve">. Un valore alto vuol dire «premia di più il comportamento», </w:t>
      </w:r>
      <w:r>
        <w:rPr>
          <w:b/>
          <w:i w:val="0"/>
        </w:rPr>
        <w:t>non</w:t>
      </w:r>
      <w:r>
        <w:rPr>
          <w:b w:val="0"/>
          <w:i w:val="0"/>
        </w:rPr>
        <w:t xml:space="preserve"> «è più equo». Sono l'unico gruppo che non va mai sommato con gli altri in un punteggio unico di equità.</w:t>
      </w:r>
    </w:p>
    <w:p>
      <w:pPr>
        <w:pStyle w:val="Heading2"/>
      </w:pPr>
      <w:r>
        <w:rPr>
          <w:rFonts w:ascii="Calibri Light" w:hAnsi="Calibri Light"/>
          <w:color w:val="1A1F25"/>
        </w:rPr>
        <w:t>5 · Convenienza — la partecipazione conviene? · 1 indicatore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  <w:shd w:val="clear" w:fill="E8EBEE"/>
          </w:tcPr>
          <w:p>
            <w:r/>
            <w:r>
              <w:rPr>
                <w:b/>
                <w:sz w:val="18"/>
              </w:rPr>
              <w:t>Indicatore</w:t>
            </w:r>
          </w:p>
        </w:tc>
        <w:tc>
          <w:tcPr>
            <w:tcW w:type="dxa" w:w="7030"/>
            <w:shd w:val="clear" w:fill="E8EBEE"/>
          </w:tcPr>
          <w:p>
            <w:r/>
            <w:r>
              <w:rPr>
                <w:b/>
                <w:sz w:val="18"/>
              </w:rPr>
              <w:t>Cosa misura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VAN_min_EUR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sz w:val="19"/>
              </w:rPr>
              <w:t>il valore attuale netto del membro messo peggio sotto quella regola. Unico indicatore che non nasce dai flussi di energia ma dal modulo finanziario.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8 + 3 + 2 + 4 + 1 = 18.</w:t>
      </w:r>
    </w:p>
    <w:p>
      <w:r>
        <w:br w:type="page"/>
      </w:r>
    </w:p>
    <w:p>
      <w:pPr>
        <w:pStyle w:val="Heading1"/>
      </w:pPr>
      <w:r>
        <w:rPr>
          <w:rFonts w:ascii="Calibri Light" w:hAnsi="Calibri Light"/>
          <w:color w:val="1A1F25"/>
        </w:rPr>
        <w:t>Parte 04 · La forza incentivante: il righello nuovo</w:t>
      </w:r>
    </w:p>
    <w:p>
      <w:r>
        <w:rPr>
          <w:b w:val="0"/>
          <w:i w:val="0"/>
        </w:rPr>
        <w:t>È il terzo criterio della domanda di ricerca, e fino a questo lavoro il modello non sapeva esprimerlo. Non è un indice di equità: è un asse di progetto.</w:t>
      </w:r>
    </w:p>
    <w:p>
      <w:pPr>
        <w:pStyle w:val="Heading2"/>
      </w:pPr>
      <w:r>
        <w:rPr>
          <w:rFonts w:ascii="Calibri Light" w:hAnsi="Calibri Light"/>
          <w:color w:val="1A1F25"/>
        </w:rPr>
        <w:t>L'idea, con una classe di scuola</w:t>
      </w:r>
    </w:p>
    <w:p>
      <w:r>
        <w:rPr>
          <w:b w:val="0"/>
          <w:i w:val="0"/>
        </w:rPr>
        <w:t>Immagina una classe. Alcuni bambini studiano prima del compito, altri no.</w:t>
      </w:r>
    </w:p>
    <w:p>
      <w:pPr>
        <w:pStyle w:val="ListBullet"/>
      </w:pPr>
      <w:r>
        <w:rPr>
          <w:b w:val="0"/>
          <w:i w:val="0"/>
        </w:rPr>
        <w:t xml:space="preserve">Se la maestra dà </w:t>
      </w:r>
      <w:r>
        <w:rPr>
          <w:b/>
          <w:i w:val="0"/>
        </w:rPr>
        <w:t>lo stesso voto a tutti</w:t>
      </w:r>
      <w:r>
        <w:rPr>
          <w:b w:val="0"/>
          <w:i w:val="0"/>
        </w:rPr>
        <w:t xml:space="preserve">, studiare non serve a niente — incentivo </w:t>
      </w:r>
      <w:r>
        <w:rPr>
          <w:b/>
          <w:i w:val="0"/>
        </w:rPr>
        <w:t>zero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Se dà </w:t>
      </w:r>
      <w:r>
        <w:rPr>
          <w:b/>
          <w:i w:val="0"/>
        </w:rPr>
        <w:t>voti più alti a chi ha studiato</w:t>
      </w:r>
      <w:r>
        <w:rPr>
          <w:b w:val="0"/>
          <w:i w:val="0"/>
        </w:rPr>
        <w:t xml:space="preserve">, studiare conviene — incentivo </w:t>
      </w:r>
      <w:r>
        <w:rPr>
          <w:b/>
          <w:i w:val="0"/>
        </w:rPr>
        <w:t>positivo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Se dà voti più alti a chi ha studiato </w:t>
      </w:r>
      <w:r>
        <w:rPr>
          <w:b/>
          <w:i w:val="0"/>
        </w:rPr>
        <w:t>meno</w:t>
      </w:r>
      <w:r>
        <w:rPr>
          <w:b w:val="0"/>
          <w:i w:val="0"/>
        </w:rPr>
        <w:t xml:space="preserve">, l'incentivo è </w:t>
      </w:r>
      <w:r>
        <w:rPr>
          <w:b/>
          <w:i w:val="0"/>
        </w:rPr>
        <w:t>al contrario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Qui «studiare» vuol dire </w:t>
      </w:r>
      <w:r>
        <w:rPr>
          <w:b w:val="0"/>
          <w:i/>
        </w:rPr>
        <w:t>consumare energia quando il sole produce</w:t>
      </w:r>
      <w:r>
        <w:rPr>
          <w:b w:val="0"/>
          <w:i w:val="0"/>
        </w:rPr>
        <w:t xml:space="preserve">. La misura è la </w:t>
      </w:r>
      <w:r>
        <w:rPr>
          <w:b/>
          <w:i w:val="0"/>
        </w:rPr>
        <w:t>covarianza fra quota e virtuosità</w:t>
      </w:r>
      <w:r>
        <w:rPr>
          <w:b w:val="0"/>
          <w:i w:val="0"/>
        </w:rPr>
        <w:t>: i membri più sincronizzati prendono sistematicamente di più, o no?</w:t>
      </w:r>
    </w:p>
    <w:p>
      <w:pPr>
        <w:pStyle w:val="Heading2"/>
      </w:pPr>
      <w:r>
        <w:rPr>
          <w:rFonts w:ascii="Calibri Light" w:hAnsi="Calibri Light"/>
          <w:color w:val="1A1F25"/>
        </w:rPr>
        <w:t>Le due ancore, e la scala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515"/>
            <w:shd w:val="clear" w:fill="E8EBEE"/>
          </w:tcPr>
          <w:p>
            <w:r/>
            <w:r>
              <w:rPr>
                <w:b/>
                <w:sz w:val="18"/>
              </w:rPr>
              <w:t>Punto di riferimento</w:t>
            </w:r>
          </w:p>
        </w:tc>
        <w:tc>
          <w:tcPr>
            <w:tcW w:type="dxa" w:w="1247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Valore</w:t>
            </w:r>
          </w:p>
        </w:tc>
        <w:tc>
          <w:tcPr>
            <w:tcW w:type="dxa" w:w="4309"/>
            <w:shd w:val="clear" w:fill="E8EBEE"/>
          </w:tcPr>
          <w:p>
            <w:r/>
            <w:r>
              <w:rPr>
                <w:b/>
                <w:sz w:val="18"/>
              </w:rPr>
              <w:t>Significato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Nucleolo (comunità con 1 prosumer)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−2.55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sz w:val="19"/>
              </w:rPr>
              <w:t>premia fortemente il contrario della virtuosità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Equal Split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sz w:val="19"/>
              </w:rPr>
              <w:t>nessun segnale: quote uguali, nessun comportamento cambia la quota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Similarity-Utilization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sz w:val="19"/>
              </w:rPr>
              <w:t>l'unità di misura: la regola costruita apposta per premiare la virtuosità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Pearson Key (comunità con 1 prosumer)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1.60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sz w:val="19"/>
              </w:rPr>
              <w:t>premia il sincronismo più della regola di riferimento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 Light" w:hAnsi="Calibri Light"/>
          <w:color w:val="1A1F25"/>
        </w:rPr>
        <w:t>Cosa significa superare 1, o scendere sotto −1</w:t>
      </w:r>
    </w:p>
    <w:p>
      <w:r>
        <w:rPr>
          <w:b w:val="0"/>
          <w:i w:val="0"/>
        </w:rPr>
        <w:t xml:space="preserve">Il righello </w:t>
      </w:r>
      <w:r>
        <w:rPr>
          <w:b/>
          <w:i w:val="0"/>
        </w:rPr>
        <w:t>non ha un tetto</w:t>
      </w:r>
      <w:r>
        <w:rPr>
          <w:b w:val="0"/>
          <w:i w:val="0"/>
        </w:rPr>
        <w:t>, ed è voluto: è una pendenza, non una percentuale. Costringerlo in [0,1] distruggerebbe l'informazione che una regola può premiare la virtuosità più di quanto faccia la regola pensata apposta per farlo.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4535"/>
            <w:shd w:val="clear" w:fill="E8EBEE"/>
          </w:tcPr>
          <w:p>
            <w:r/>
            <w:r>
              <w:rPr>
                <w:b/>
                <w:sz w:val="18"/>
              </w:rPr>
              <w:t>Caso reale (comunità con 1 prosumer su 7)</w:t>
            </w:r>
          </w:p>
        </w:tc>
        <w:tc>
          <w:tcPr>
            <w:tcW w:type="dxa" w:w="2268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Forza</w:t>
            </w:r>
          </w:p>
        </w:tc>
        <w:tc>
          <w:tcPr>
            <w:tcW w:type="dxa" w:w="2268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Allineamento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Pearson Key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1.60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0.85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Similarity-Utilization (il riferimento)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1.00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1.00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Equal Split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0.00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0.00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Nucleolo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−2.55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−0.71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Pearson Key a 1.60.</w:t>
      </w:r>
      <w:r>
        <w:rPr>
          <w:b w:val="0"/>
          <w:i w:val="0"/>
        </w:rPr>
        <w:t xml:space="preserve"> Guarda l'allineamento: 0.85, meno puro del riferimento. Non punta più dritto alla virtuosità — </w:t>
      </w:r>
      <w:r>
        <w:rPr>
          <w:b/>
          <w:i w:val="0"/>
        </w:rPr>
        <w:t>sposta le quote in modo più drastico</w:t>
      </w:r>
      <w:r>
        <w:rPr>
          <w:b w:val="0"/>
          <w:i w:val="0"/>
        </w:rPr>
        <w:t>. La regola di Bilardo media θ ed η smussando le punte; la chiave di Pearson premia la correlazione senza quell'ammortizzatore, quindi al membro più sincronizzato dà una fetta molto più grande.</w:t>
      </w:r>
    </w:p>
    <w:p>
      <w:r>
        <w:rPr>
          <w:b/>
          <w:i w:val="0"/>
        </w:rPr>
        <w:t>Nucleolo a −2.55.</w:t>
      </w:r>
      <w:r>
        <w:rPr>
          <w:b w:val="0"/>
          <w:i w:val="0"/>
        </w:rPr>
        <w:t xml:space="preserve"> Il Nucleolo non ha nessuna idea di virtuosità nella sua logica: il suo unico obiettivo è che nessun sottogruppo voglia uscire. Con un solo prosumer deve dargli una fetta enorme per tenerlo dentro, </w:t>
      </w:r>
      <w:r>
        <w:rPr>
          <w:b/>
          <w:i w:val="0"/>
        </w:rPr>
        <w:t>indipendentemente da quando quel prosumer consuma</w:t>
      </w:r>
      <w:r>
        <w:rPr>
          <w:b w:val="0"/>
          <w:i w:val="0"/>
        </w:rPr>
        <w:t>. Se consuma male, quella fetta grande spinge fortissimo nella direzione sbagliata.</w:t>
      </w:r>
    </w:p>
    <w:p>
      <w:pPr>
        <w:spacing w:before="160" w:after="40"/>
        <w:ind w:left="283"/>
      </w:pPr>
      <w:r>
        <w:rPr>
          <w:b/>
          <w:color w:val="8E3F31"/>
          <w:sz w:val="17"/>
        </w:rPr>
        <w:t>AVVERTENZA SUI PROFILI — MISURATA, NON TEORICA</w:t>
      </w:r>
    </w:p>
    <w:p>
      <w:pPr>
        <w:spacing w:after="120"/>
        <w:ind w:left="283"/>
      </w:pPr>
      <w:r>
        <w:rPr>
          <w:b w:val="0"/>
          <w:i w:val="0"/>
        </w:rPr>
        <w:t xml:space="preserve">Sui profili </w:t>
      </w:r>
      <w:r>
        <w:rPr>
          <w:b/>
          <w:i w:val="0"/>
        </w:rPr>
        <w:t>netti</w:t>
      </w:r>
      <w:r>
        <w:rPr>
          <w:b w:val="0"/>
          <w:i w:val="0"/>
        </w:rPr>
        <w:t xml:space="preserve"> il carico residuo del proprietario dell'impianto è nullo proprio nelle ore di eccedenza, quindi la sua virtuosità misurata crolla. L'effetto è grande: su CER_6_1_0 lo Shapley vale </w:t>
      </w:r>
      <w:r>
        <w:rPr>
          <w:b/>
          <w:i w:val="0"/>
        </w:rPr>
        <w:t>−0.657 sull'asse netto e +2.502 su quello lordo</w:t>
      </w:r>
      <w:r>
        <w:rPr>
          <w:b w:val="0"/>
          <w:i w:val="0"/>
        </w:rPr>
        <w:t xml:space="preserve"> — il segno si ribalta. Il coseno fra i due assi scende da 0.903 (sette prosumer) a 0.224 (uno solo), sotto 0.8 su sei comunità su sette.</w:t>
      </w:r>
    </w:p>
    <w:p>
      <w:pPr>
        <w:spacing w:after="120"/>
        <w:ind w:left="283"/>
      </w:pPr>
      <w:r>
        <w:rPr>
          <w:b w:val="0"/>
          <w:i w:val="0"/>
        </w:rPr>
        <w:t xml:space="preserve">Per questo il modello calcola </w:t>
      </w:r>
      <w:r>
        <w:rPr>
          <w:b/>
          <w:i w:val="0"/>
        </w:rPr>
        <w:t>entrambe</w:t>
      </w:r>
      <w:r>
        <w:rPr>
          <w:b w:val="0"/>
          <w:i w:val="0"/>
        </w:rPr>
        <w:t xml:space="preserve"> le colonne. Una lettura sui soli profili netti sarebbe una conclusione sbagliata, non parziale.</w:t>
      </w:r>
    </w:p>
    <w:p>
      <w:r>
        <w:rPr>
          <w:b w:val="0"/>
          <w:i w:val="0"/>
        </w:rPr>
        <w:t xml:space="preserve">Ultima cosa: la soglia «1» </w:t>
      </w:r>
      <w:r>
        <w:rPr>
          <w:b/>
          <w:i w:val="0"/>
        </w:rPr>
        <w:t>non è la stessa da una comunità all'altra</w:t>
      </w:r>
      <w:r>
        <w:rPr>
          <w:b w:val="0"/>
          <w:i w:val="0"/>
        </w:rPr>
        <w:t xml:space="preserve"> — è tarata sulla regola di riferimento in quella specifica comunità. Per confrontare l'intensità fra comunità serve il campo </w:t>
      </w:r>
      <w:r>
        <w:rPr>
          <w:rFonts w:ascii="Consolas" w:hAnsi="Consolas"/>
          <w:b w:val="0"/>
          <w:i w:val="0"/>
          <w:sz w:val="19"/>
        </w:rPr>
        <w:t>beta</w:t>
      </w:r>
      <w:r>
        <w:rPr>
          <w:b w:val="0"/>
          <w:i w:val="0"/>
        </w:rPr>
        <w:t xml:space="preserve">, la pendenza grezza, non </w:t>
      </w:r>
      <w:r>
        <w:rPr>
          <w:rFonts w:ascii="Consolas" w:hAnsi="Consolas"/>
          <w:b w:val="0"/>
          <w:i w:val="0"/>
          <w:sz w:val="19"/>
        </w:rPr>
        <w:t>IS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</w:pPr>
      <w:r>
        <w:rPr>
          <w:rFonts w:ascii="Calibri Light" w:hAnsi="Calibri Light"/>
          <w:color w:val="1A1F25"/>
        </w:rPr>
        <w:t>Parte 05 · Come valutiamo i risultati</w:t>
      </w:r>
    </w:p>
    <w:p>
      <w:r>
        <w:rPr>
          <w:b w:val="0"/>
          <w:i w:val="0"/>
        </w:rPr>
        <w:t>Con sedici regole, diciotto indicatori e sette comunità ci sono più di duemila graduatorie possibili. Il punto del metodo è non guardarle a occhio.</w:t>
      </w:r>
    </w:p>
    <w:p>
      <w:pPr>
        <w:pStyle w:val="Heading2"/>
      </w:pPr>
      <w:r>
        <w:rPr>
          <w:rFonts w:ascii="Calibri Light" w:hAnsi="Calibri Light"/>
          <w:color w:val="1A1F25"/>
        </w:rPr>
        <w:t>Primo passo · mettere tutti gli indicatori nello stesso verso</w:t>
      </w:r>
    </w:p>
    <w:p>
      <w:r>
        <w:rPr>
          <w:b w:val="0"/>
          <w:i w:val="0"/>
        </w:rPr>
        <w:t>È il passaggio più facile da sbagliare, e sbagliarlo capovolge ogni conclusione. Alcuni indicatori sono migliori quando salgono (l'Equality Index, dove 1 è perfetta uguaglianza); altri quando scendono (il Gini, dove 0 è perfetta uguaglianza). Senza orientarli, due indicatori che dicono esattamente la stessa cosa sembrano opporsi.</w:t>
      </w:r>
    </w:p>
    <w:p>
      <w:pPr>
        <w:spacing w:before="160" w:after="40"/>
        <w:ind w:left="283"/>
      </w:pPr>
      <w:r>
        <w:rPr>
          <w:b/>
          <w:color w:val="9A6314"/>
          <w:sz w:val="17"/>
        </w:rPr>
        <w:t>LA VERIFICA CHE SMASCHERA L'ERRORE</w:t>
      </w:r>
    </w:p>
    <w:p>
      <w:pPr>
        <w:spacing w:after="120"/>
        <w:ind w:left="283"/>
      </w:pPr>
      <w:r>
        <w:rPr>
          <w:b w:val="0"/>
          <w:i w:val="0"/>
        </w:rPr>
        <w:t xml:space="preserve">Nel modello </w:t>
      </w:r>
      <w:r>
        <w:rPr>
          <w:rFonts w:ascii="Consolas" w:hAnsi="Consolas"/>
          <w:b w:val="0"/>
          <w:i w:val="0"/>
          <w:sz w:val="19"/>
        </w:rPr>
        <w:t>EI_orig</w:t>
      </w:r>
      <w:r>
        <w:rPr>
          <w:b w:val="0"/>
          <w:i w:val="0"/>
        </w:rPr>
        <w:t xml:space="preserve"> è calcolato come </w:t>
      </w:r>
      <w:r>
        <w:rPr>
          <w:rFonts w:ascii="Consolas" w:hAnsi="Consolas"/>
          <w:b w:val="0"/>
          <w:i w:val="0"/>
          <w:sz w:val="19"/>
        </w:rPr>
        <w:t>1 − Gini</w:t>
      </w:r>
      <w:r>
        <w:rPr>
          <w:b w:val="0"/>
          <w:i w:val="0"/>
        </w:rPr>
        <w:t xml:space="preserve"> sugli stessi numeri. Sono la stessa grandezza scritta al contrario. Quindi, se l'orientamento è corretto, il loro accordo deve risultare </w:t>
      </w:r>
      <w:r>
        <w:rPr>
          <w:b/>
          <w:i w:val="0"/>
        </w:rPr>
        <w:t>esattamente +1</w:t>
      </w:r>
      <w:r>
        <w:rPr>
          <w:b w:val="0"/>
          <w:i w:val="0"/>
        </w:rPr>
        <w:t xml:space="preserve"> — verificato su tutte e sette le comunità a ogni esecuzione.</w:t>
      </w:r>
    </w:p>
    <w:p>
      <w:pPr>
        <w:pStyle w:val="Heading2"/>
      </w:pPr>
      <w:r>
        <w:rPr>
          <w:rFonts w:ascii="Calibri Light" w:hAnsi="Calibri Light"/>
          <w:color w:val="1A1F25"/>
        </w:rPr>
        <w:t>Secondo passo · misurare quanto due indicatori concordano</w:t>
      </w:r>
    </w:p>
    <w:p>
      <w:r>
        <w:rPr>
          <w:b w:val="0"/>
          <w:i w:val="0"/>
        </w:rPr>
        <w:t xml:space="preserve">Si usa il </w:t>
      </w:r>
      <w:r>
        <w:rPr>
          <w:b/>
          <w:i w:val="0"/>
        </w:rPr>
        <w:t>τ-b di Kendall</w:t>
      </w:r>
      <w:r>
        <w:rPr>
          <w:b w:val="0"/>
          <w:i w:val="0"/>
        </w:rPr>
        <w:t>: prende le due classifiche dei sedici metodi prodotte da due indicatori diversi e conta quante coppie di metodi sono ordinate allo stesso modo e quante al contrario.</w:t>
      </w:r>
    </w:p>
    <w:p>
      <w:pPr>
        <w:pStyle w:val="Heading3"/>
      </w:pPr>
      <w:r>
        <w:rPr>
          <w:rFonts w:ascii="Calibri Light" w:hAnsi="Calibri Light"/>
          <w:color w:val="1A1F25"/>
        </w:rPr>
        <w:t>Da dove vengono le 120 coppie</w:t>
      </w:r>
    </w:p>
    <w:p>
      <w:r>
        <w:rPr>
          <w:b w:val="0"/>
          <w:i w:val="0"/>
        </w:rPr>
        <w:t>È il numero di modi di scegliere 2 metodi su 16 senza contare l'ordine: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5953"/>
            <w:shd w:val="clear" w:fill="E8EBEE"/>
          </w:tcPr>
          <w:p>
            <w:r/>
            <w:r>
              <w:rPr>
                <w:b/>
                <w:sz w:val="18"/>
              </w:rPr>
              <w:t>Passo</w:t>
            </w:r>
          </w:p>
        </w:tc>
        <w:tc>
          <w:tcPr>
            <w:tcW w:type="dxa" w:w="3118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Conto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19"/>
              </w:rPr>
              <w:t>Per il primo metodo della coppia</w:t>
            </w:r>
          </w:p>
        </w:tc>
        <w:tc>
          <w:tcPr>
            <w:tcW w:type="dxa" w:w="3118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16 scelte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19"/>
              </w:rPr>
              <w:t>Per il secondo (uno è già preso)</w:t>
            </w:r>
          </w:p>
        </w:tc>
        <w:tc>
          <w:tcPr>
            <w:tcW w:type="dxa" w:w="3118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15 scelte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19"/>
              </w:rPr>
              <w:t>Coppie ordinate</w:t>
            </w:r>
          </w:p>
        </w:tc>
        <w:tc>
          <w:tcPr>
            <w:tcW w:type="dxa" w:w="3118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16 × 15 = 240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19"/>
              </w:rPr>
              <w:t>Ma «Shapley–Nucleolo» e «Nucleolo–Shapley» sono la stessa coppia</w:t>
            </w:r>
          </w:p>
        </w:tc>
        <w:tc>
          <w:tcPr>
            <w:tcW w:type="dxa" w:w="3118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÷ 2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19"/>
              </w:rPr>
              <w:t>Coppie distinte</w:t>
            </w:r>
          </w:p>
        </w:tc>
        <w:tc>
          <w:tcPr>
            <w:tcW w:type="dxa" w:w="3118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120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 xml:space="preserve">Nel codice questo ÷2 non è una divisione ma una regola di ciclo: </w:t>
      </w:r>
      <w:r>
        <w:rPr>
          <w:rFonts w:ascii="Consolas" w:hAnsi="Consolas"/>
          <w:b w:val="0"/>
          <w:i w:val="0"/>
          <w:sz w:val="19"/>
        </w:rPr>
        <w:t>for i = 1:m-1, for j = i+1:m</w:t>
      </w:r>
      <w:r>
        <w:rPr>
          <w:b w:val="0"/>
          <w:i w:val="0"/>
        </w:rPr>
        <w:t xml:space="preserve"> — il secondo indice parte sempre dopo il primo, quindi la coppia doppia non viene mai generata.</w:t>
      </w:r>
    </w:p>
    <w:p>
      <w:pPr>
        <w:pStyle w:val="Heading3"/>
      </w:pPr>
      <w:r>
        <w:rPr>
          <w:rFonts w:ascii="Calibri Light" w:hAnsi="Calibri Light"/>
          <w:color w:val="1A1F25"/>
        </w:rPr>
        <w:t>I pareggi, e perché contano</w:t>
      </w:r>
    </w:p>
    <w:p>
      <w:r>
        <w:rPr>
          <w:b w:val="0"/>
          <w:i w:val="0"/>
        </w:rPr>
        <w:t xml:space="preserve">Se due regole danno quasi lo stesso voto, contarlo come «vince l'uno» sarebbe come far decidere una gara da un fotofinish di un millimetro. Il modello usa due soglie: una per capire se l'indicatore </w:t>
      </w:r>
      <w:r>
        <w:rPr>
          <w:b/>
          <w:i w:val="0"/>
        </w:rPr>
        <w:t>distingue</w:t>
      </w:r>
      <w:r>
        <w:rPr>
          <w:b w:val="0"/>
          <w:i w:val="0"/>
        </w:rPr>
        <w:t xml:space="preserve"> davvero i sedici metodi, una per decidere se due metodi sono </w:t>
      </w:r>
      <w:r>
        <w:rPr>
          <w:b/>
          <w:i w:val="0"/>
        </w:rPr>
        <w:t>a pari</w:t>
      </w:r>
      <w:r>
        <w:rPr>
          <w:b w:val="0"/>
          <w:i w:val="0"/>
        </w:rPr>
        <w:t xml:space="preserve">. Un indicatore che dà lo stesso voto a tutti restituisce </w:t>
      </w:r>
      <w:r>
        <w:rPr>
          <w:rFonts w:ascii="Consolas" w:hAnsi="Consolas"/>
          <w:b w:val="0"/>
          <w:i w:val="0"/>
          <w:sz w:val="19"/>
        </w:rPr>
        <w:t>NaN</w:t>
      </w:r>
      <w:r>
        <w:rPr>
          <w:b w:val="0"/>
          <w:i w:val="0"/>
        </w:rPr>
        <w:t>, non zero — dire zero significherebbe affermare che i due indicatori sono indipendenti, che è falso.</w:t>
      </w:r>
    </w:p>
    <w:p>
      <w:pPr>
        <w:pStyle w:val="Heading2"/>
      </w:pPr>
      <w:r>
        <w:rPr>
          <w:rFonts w:ascii="Calibri Light" w:hAnsi="Calibri Light"/>
          <w:color w:val="1A1F25"/>
        </w:rPr>
        <w:t>Terzo passo · seguire le graduatorie al cambiare della comunità</w:t>
      </w:r>
    </w:p>
    <w:p>
      <w:r>
        <w:rPr>
          <w:b w:val="0"/>
          <w:i w:val="0"/>
        </w:rPr>
        <w:t>Le sette comunità sono ordinate lungo un asse: la percentuale di membri con impianto, dal 14.3% al 100%. Per ogni coppia di metodi e ogni indicatore, il modello segue chi dei due sta davanti e registra ogni punto in cui si scambiano di posto.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252"/>
            <w:shd w:val="clear" w:fill="E8EBEE"/>
          </w:tcPr>
          <w:p>
            <w:r/>
            <w:r>
              <w:rPr>
                <w:b/>
                <w:sz w:val="18"/>
              </w:rPr>
              <w:t>Distacco da una comunità alla successiva</w:t>
            </w:r>
          </w:p>
        </w:tc>
        <w:tc>
          <w:tcPr>
            <w:tcW w:type="dxa" w:w="4819"/>
            <w:shd w:val="clear" w:fill="E8EBEE"/>
          </w:tcPr>
          <w:p>
            <w:r/>
            <w:r>
              <w:rPr>
                <w:b/>
                <w:sz w:val="18"/>
              </w:rPr>
              <w:t>Cosa viene registrato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positivo → positivo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nessuna riga — non è successo niente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negativo → negativo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nessuna riga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positivo → negativo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una riga: sorpasso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negativo → positivo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una riga: sorpasso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positivo → pari → negativo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una riga, con la tappa pari scavalcata e contata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Si confrontano solo comunità consecutive, perché un sorpasso è un attraversamento e va localizzato dove avviene. E se una coppia di metodi non si incrocia mai, quella coppia non compare proprio nel file.</w:t>
      </w:r>
    </w:p>
    <w:p>
      <w:r>
        <w:br w:type="page"/>
      </w:r>
    </w:p>
    <w:p>
      <w:pPr>
        <w:pStyle w:val="Heading1"/>
      </w:pPr>
      <w:r>
        <w:rPr>
          <w:rFonts w:ascii="Calibri Light" w:hAnsi="Calibri Light"/>
          <w:color w:val="1A1F25"/>
        </w:rPr>
        <w:t>Parte 06 · I quattro file dei risultati</w:t>
      </w:r>
    </w:p>
    <w:p>
      <w:r>
        <w:rPr>
          <w:b w:val="0"/>
          <w:i w:val="0"/>
        </w:rPr>
        <w:t>A fine esecuzione il modello scrive quattro CSV in outputs/tables/confronto/. Non contengono i valori grezzi: sono un livello sopra, e misurano come si comportano le misurazioni fra loro.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154"/>
            <w:shd w:val="clear" w:fill="E8EBEE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907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Righe</w:t>
            </w:r>
          </w:p>
        </w:tc>
        <w:tc>
          <w:tcPr>
            <w:tcW w:type="dxa" w:w="3175"/>
            <w:shd w:val="clear" w:fill="E8EBEE"/>
          </w:tcPr>
          <w:p>
            <w:r/>
            <w:r>
              <w:rPr>
                <w:b/>
                <w:sz w:val="18"/>
              </w:rPr>
              <w:t>Cosa contiene</w:t>
            </w:r>
          </w:p>
        </w:tc>
        <w:tc>
          <w:tcPr>
            <w:tcW w:type="dxa" w:w="2835"/>
            <w:shd w:val="clear" w:fill="E8EBEE"/>
          </w:tcPr>
          <w:p>
            <w:r/>
            <w:r>
              <w:rPr>
                <w:b/>
                <w:sz w:val="18"/>
              </w:rPr>
              <w:t>A cosa serve in tesi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orientamenti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19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per ogni indicatore: se alto è buono o cattivo, e se il giudizio è normativo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capitolo di metodo — è la chiave che rende leggibili gli altri tre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accordo_indicatori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2 269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per ogni coppia di indicatori, su ogni comunità, quanto concordano nell'ordinare i 16 metodi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risponde a «quanto gli indicatori concordano»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inversioni_di_graduatoria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1 944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una riga per ogni singolo sorpasso, con le due comunità e i due distacchi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per verificare e citare un caso specifico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inversioni_sommario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2 161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una riga per coppia di metodi: quanti sorpassi, e se il vincitore è cambiato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i numeri aggregati da mettere in tabella</w:t>
            </w:r>
          </w:p>
        </w:tc>
      </w:tr>
    </w:tbl>
    <w:p>
      <w:pPr>
        <w:spacing w:after="80"/>
      </w:pPr>
    </w:p>
    <w:p>
      <w:pPr>
        <w:spacing w:before="160" w:after="40"/>
        <w:ind w:left="283"/>
      </w:pPr>
      <w:r>
        <w:rPr>
          <w:b/>
          <w:color w:val="165C9E"/>
          <w:sz w:val="17"/>
        </w:rPr>
        <w:t>COSA NON È IN QUESTI FILE</w:t>
      </w:r>
    </w:p>
    <w:p>
      <w:pPr>
        <w:spacing w:after="120"/>
        <w:ind w:left="283"/>
      </w:pPr>
      <w:r>
        <w:rPr>
          <w:b w:val="0"/>
          <w:i w:val="0"/>
        </w:rPr>
        <w:t xml:space="preserve">I </w:t>
      </w:r>
      <w:r>
        <w:rPr>
          <w:b/>
          <w:i w:val="0"/>
        </w:rPr>
        <w:t>valori assoluti</w:t>
      </w:r>
      <w:r>
        <w:rPr>
          <w:b w:val="0"/>
          <w:i w:val="0"/>
        </w:rPr>
        <w:t xml:space="preserve"> dei singoli metodi — «Shapley vale 0.589 su EI_orig nella comunità con sette prosumer» — non sono in nessuno dei quattro. Escono da </w:t>
      </w:r>
      <w:r>
        <w:rPr>
          <w:rFonts w:ascii="Consolas" w:hAnsi="Consolas"/>
          <w:b w:val="0"/>
          <w:i w:val="0"/>
          <w:sz w:val="19"/>
        </w:rPr>
        <w:t>Tfair</w:t>
      </w:r>
      <w:r>
        <w:rPr>
          <w:b w:val="0"/>
          <w:i w:val="0"/>
        </w:rPr>
        <w:t xml:space="preserve">, che </w:t>
      </w:r>
      <w:r>
        <w:rPr>
          <w:rFonts w:ascii="Consolas" w:hAnsi="Consolas"/>
          <w:b w:val="0"/>
          <w:i w:val="0"/>
          <w:sz w:val="19"/>
        </w:rPr>
        <w:t>MAIN.m</w:t>
      </w:r>
      <w:r>
        <w:rPr>
          <w:b w:val="0"/>
          <w:i w:val="0"/>
        </w:rPr>
        <w:t xml:space="preserve"> stampa a schermo ma </w:t>
      </w:r>
      <w:r>
        <w:rPr>
          <w:b/>
          <w:i w:val="0"/>
        </w:rPr>
        <w:t>non esporta</w:t>
      </w:r>
      <w:r>
        <w:rPr>
          <w:b w:val="0"/>
          <w:i w:val="0"/>
        </w:rPr>
        <w:t>. Se in tesi serve un valore assoluto, va preso da lì.</w:t>
      </w:r>
    </w:p>
    <w:p>
      <w:r>
        <w:br w:type="page"/>
      </w:r>
    </w:p>
    <w:p>
      <w:pPr>
        <w:pStyle w:val="Heading1"/>
      </w:pPr>
      <w:r>
        <w:rPr>
          <w:rFonts w:ascii="Calibri Light" w:hAnsi="Calibri Light"/>
          <w:color w:val="1A1F25"/>
        </w:rPr>
        <w:t>Parte 07 · I risultati</w:t>
      </w:r>
    </w:p>
    <w:p>
      <w:r>
        <w:rPr>
          <w:b w:val="0"/>
          <w:i w:val="0"/>
        </w:rPr>
        <w:t>Sette comunità di sette membri, identiche per composizione salvo una cosa: quanti di loro possiedono un impianto fotovoltaico. Si va da uno su sette a sette su sette.</w:t>
      </w:r>
    </w:p>
    <w:p>
      <w:pPr>
        <w:pStyle w:val="Heading2"/>
      </w:pPr>
      <w:r>
        <w:rPr>
          <w:rFonts w:ascii="Calibri Light" w:hAnsi="Calibri Light"/>
          <w:color w:val="1A1F25"/>
        </w:rPr>
        <w:t>1 · Il vincolo normativo esiste, ma non morde</w:t>
      </w:r>
    </w:p>
    <w:p>
      <w:r>
        <w:rPr>
          <w:b w:val="0"/>
          <w:i w:val="0"/>
        </w:rPr>
        <w:t>La normativa fissa una soglia: l'energia condivisa incentivabile non può superare una certa percentuale di quella immessa in rete. Il modello la verifica su ogni comunità — e su tutte e sette resta lontanissima.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81"/>
            <w:shd w:val="clear" w:fill="E8EBEE"/>
          </w:tcPr>
          <w:p>
            <w:r/>
            <w:r>
              <w:rPr>
                <w:b/>
                <w:sz w:val="18"/>
              </w:rPr>
              <w:t>Membri con impianto</w:t>
            </w:r>
          </w:p>
        </w:tc>
        <w:tc>
          <w:tcPr>
            <w:tcW w:type="dxa" w:w="2381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Quota incentivata</w:t>
            </w:r>
          </w:p>
        </w:tc>
        <w:tc>
          <w:tcPr>
            <w:tcW w:type="dxa" w:w="1701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Soglia</w:t>
            </w:r>
          </w:p>
        </w:tc>
        <w:tc>
          <w:tcPr>
            <w:tcW w:type="dxa" w:w="2608"/>
            <w:shd w:val="clear" w:fill="E8EBEE"/>
          </w:tcPr>
          <w:p>
            <w:r/>
            <w:r>
              <w:rPr>
                <w:b/>
                <w:sz w:val="18"/>
              </w:rPr>
              <w:t>Esito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1 su 7</w:t>
            </w:r>
          </w:p>
        </w:tc>
        <w:tc>
          <w:tcPr>
            <w:tcW w:type="dxa" w:w="23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24.3%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55%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non binding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2 su 7</w:t>
            </w:r>
          </w:p>
        </w:tc>
        <w:tc>
          <w:tcPr>
            <w:tcW w:type="dxa" w:w="23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20.8%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55%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non binding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3 su 7</w:t>
            </w:r>
          </w:p>
        </w:tc>
        <w:tc>
          <w:tcPr>
            <w:tcW w:type="dxa" w:w="23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17.9%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55%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non binding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4 su 7</w:t>
            </w:r>
          </w:p>
        </w:tc>
        <w:tc>
          <w:tcPr>
            <w:tcW w:type="dxa" w:w="23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7.9%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55%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non binding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5 su 7</w:t>
            </w:r>
          </w:p>
        </w:tc>
        <w:tc>
          <w:tcPr>
            <w:tcW w:type="dxa" w:w="23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7.4%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55%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non binding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6 su 7</w:t>
            </w:r>
          </w:p>
        </w:tc>
        <w:tc>
          <w:tcPr>
            <w:tcW w:type="dxa" w:w="23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2.6%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55%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non binding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7 su 7</w:t>
            </w:r>
          </w:p>
        </w:tc>
        <w:tc>
          <w:tcPr>
            <w:tcW w:type="dxa" w:w="23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2.0%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55%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non binding</w:t>
            </w:r>
          </w:p>
        </w:tc>
      </w:tr>
    </w:tbl>
    <w:p>
      <w:pPr>
        <w:spacing w:after="80"/>
      </w:pPr>
    </w:p>
    <w:p>
      <w:pPr>
        <w:spacing w:before="160" w:after="40"/>
        <w:ind w:left="283"/>
      </w:pPr>
      <w:r>
        <w:rPr>
          <w:b/>
          <w:color w:val="9A6314"/>
          <w:sz w:val="17"/>
        </w:rPr>
        <w:t>RISULTATO</w:t>
      </w:r>
    </w:p>
    <w:p>
      <w:pPr>
        <w:spacing w:after="120"/>
        <w:ind w:left="283"/>
      </w:pPr>
      <w:r>
        <w:rPr>
          <w:b w:val="0"/>
          <w:i w:val="0"/>
        </w:rPr>
        <w:t xml:space="preserve">Il tetto regolatorio </w:t>
      </w:r>
      <w:r>
        <w:rPr>
          <w:b/>
          <w:i w:val="0"/>
        </w:rPr>
        <w:t>non è ciò che limita queste comunità</w:t>
      </w:r>
      <w:r>
        <w:rPr>
          <w:b w:val="0"/>
          <w:i w:val="0"/>
        </w:rPr>
        <w:t xml:space="preserve">. Con sette impianti solo </w:t>
      </w:r>
      <w:r>
        <w:rPr>
          <w:b/>
          <w:i w:val="0"/>
        </w:rPr>
        <w:t>5 406 kWh su 263 834 immessi</w:t>
      </w:r>
      <w:r>
        <w:rPr>
          <w:b w:val="0"/>
          <w:i w:val="0"/>
        </w:rPr>
        <w:t xml:space="preserve"> diventano energia condivisa: il 2%. Il collo di bottiglia è l'accoppiamento temporale fra produzione e consumo, non la norma. Gli impianti sono dimensionati per l'autoconsumo, non per la condivisione.</w:t>
      </w:r>
    </w:p>
    <w:p>
      <w:r>
        <w:rPr>
          <w:b w:val="0"/>
          <w:i w:val="0"/>
        </w:rPr>
        <w:t xml:space="preserve">Lo stesso vale per la convenienza: </w:t>
      </w:r>
      <w:r>
        <w:rPr>
          <w:b/>
          <w:i w:val="0"/>
        </w:rPr>
        <w:t>tutte e sedici le regole lasciano ogni membro con un VAN positivo</w:t>
      </w:r>
      <w:r>
        <w:rPr>
          <w:b w:val="0"/>
          <w:i w:val="0"/>
        </w:rPr>
        <w:t xml:space="preserve">, in tutte e sette le comunità. Nessun meccanismo viene escluso — si ordinano soltanto. Lo scarto fra la regola migliore e la peggiore, per il membro messo peggio, è del </w:t>
      </w:r>
      <w:r>
        <w:rPr>
          <w:b/>
          <w:i w:val="0"/>
        </w:rPr>
        <w:t>10.4%</w:t>
      </w:r>
      <w:r>
        <w:rPr>
          <w:b w:val="0"/>
          <w:i w:val="0"/>
        </w:rPr>
        <w:t xml:space="preserve"> (da 12 688 a 14 002 €).</w:t>
      </w:r>
    </w:p>
    <w:p>
      <w:pPr>
        <w:pStyle w:val="Heading2"/>
      </w:pPr>
      <w:r>
        <w:rPr>
          <w:rFonts w:ascii="Calibri Light" w:hAnsi="Calibri Light"/>
          <w:color w:val="1A1F25"/>
        </w:rPr>
        <w:t>2 · Tre criteri, tre vincitori diversi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val="clear" w:fill="E8EBEE"/>
          </w:tcPr>
          <w:p>
            <w:r/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2494"/>
            <w:shd w:val="clear" w:fill="E8EBEE"/>
          </w:tcPr>
          <w:p>
            <w:r/>
            <w:r>
              <w:rPr>
                <w:b/>
                <w:sz w:val="18"/>
              </w:rPr>
              <w:t>Prima classificata</w:t>
            </w:r>
          </w:p>
        </w:tc>
        <w:tc>
          <w:tcPr>
            <w:tcW w:type="dxa" w:w="1134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Valore</w:t>
            </w:r>
          </w:p>
        </w:tc>
        <w:tc>
          <w:tcPr>
            <w:tcW w:type="dxa" w:w="3742"/>
            <w:shd w:val="clear" w:fill="E8EBEE"/>
          </w:tcPr>
          <w:p>
            <w:r/>
            <w:r>
              <w:rPr>
                <w:b/>
                <w:sz w:val="18"/>
              </w:rPr>
              <w:t>Dove crolla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Uniformità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Equal Split</w:t>
            </w:r>
          </w:p>
        </w:tc>
        <w:tc>
          <w:tcPr>
            <w:tcW w:type="dxa" w:w="1134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1.000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9"/>
              </w:rPr>
              <w:t>forza incentivante esattamente 0; nove sottogruppi vorrebbero uscire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Stabilità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Nucleolo · Variance Least Core</w:t>
            </w:r>
          </w:p>
        </w:tc>
        <w:tc>
          <w:tcPr>
            <w:tcW w:type="dxa" w:w="1134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−25 €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9"/>
              </w:rPr>
              <w:t>il Nucleolo è il peggiore sull'uniformità (0.22)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Comportamento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Pearson Key · Tri-level EP</w:t>
            </w:r>
          </w:p>
        </w:tc>
        <w:tc>
          <w:tcPr>
            <w:tcW w:type="dxa" w:w="1134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1.60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9"/>
              </w:rPr>
              <w:t>uniformità mediocre, fra 0.21 e 0.45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Nessuna regola vince su più di un criterio, e ciascuna vincitrice è fra le peggiori su almeno un altro.</w:t>
      </w:r>
    </w:p>
    <w:p>
      <w:pPr>
        <w:pStyle w:val="Heading2"/>
      </w:pPr>
      <w:r>
        <w:rPr>
          <w:rFonts w:ascii="Calibri Light" w:hAnsi="Calibri Light"/>
          <w:color w:val="1A1F25"/>
        </w:rPr>
        <w:t>3 · Il Variance Least Core, l'unico mai dominato</w:t>
      </w:r>
    </w:p>
    <w:p>
      <w:r>
        <w:rPr>
          <w:b w:val="0"/>
          <w:i w:val="0"/>
        </w:rPr>
        <w:t>Posizione in classifica (1° = migliore delle sedici) su ciascun criterio, in ciascuna comunità: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1"/>
            <w:shd w:val="clear" w:fill="E8EBEE"/>
          </w:tcPr>
          <w:p>
            <w:r/>
            <w:r>
              <w:rPr>
                <w:b/>
                <w:sz w:val="18"/>
              </w:rPr>
              <w:t>Penetraz.</w:t>
            </w:r>
          </w:p>
        </w:tc>
        <w:tc>
          <w:tcPr>
            <w:tcW w:type="dxa" w:w="1281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VLC</w:t>
              <w:br/>
              <w:t>Uniform.</w:t>
            </w:r>
          </w:p>
        </w:tc>
        <w:tc>
          <w:tcPr>
            <w:tcW w:type="dxa" w:w="1281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VLC</w:t>
              <w:br/>
              <w:t>Stabil.</w:t>
            </w:r>
          </w:p>
        </w:tc>
        <w:tc>
          <w:tcPr>
            <w:tcW w:type="dxa" w:w="1281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VLC</w:t>
              <w:br/>
              <w:t>Comport.</w:t>
            </w:r>
          </w:p>
        </w:tc>
        <w:tc>
          <w:tcPr>
            <w:tcW w:type="dxa" w:w="1281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Nucleolo</w:t>
              <w:br/>
              <w:t>Uniform.</w:t>
            </w:r>
          </w:p>
        </w:tc>
        <w:tc>
          <w:tcPr>
            <w:tcW w:type="dxa" w:w="1281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Nucleolo</w:t>
              <w:br/>
              <w:t>Stabil.</w:t>
            </w:r>
          </w:p>
        </w:tc>
        <w:tc>
          <w:tcPr>
            <w:tcW w:type="dxa" w:w="1281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Nucleolo</w:t>
              <w:br/>
              <w:t>Comport.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14.3%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4°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2°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6°</w:t>
            </w:r>
          </w:p>
        </w:tc>
        <w:tc>
          <w:tcPr>
            <w:tcW w:type="dxa" w:w="1281"/>
            <w:shd w:val="clear" w:fill="F2DCD7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16°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1°</w:t>
            </w:r>
          </w:p>
        </w:tc>
        <w:tc>
          <w:tcPr>
            <w:tcW w:type="dxa" w:w="1281"/>
            <w:shd w:val="clear" w:fill="F2DCD7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16°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28.6%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11°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2°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6°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12°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5°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42.9%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9°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2°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7°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11°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6°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57.1%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10°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2°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7°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11°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5°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71.4%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10°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2°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6°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11°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5°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85.7%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7°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2°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8°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10°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6°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100%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10°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2°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7°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12°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1°</w:t>
            </w:r>
          </w:p>
        </w:tc>
        <w:tc>
          <w:tcPr>
            <w:tcW w:type="dxa" w:w="128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5°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Il VLC non scende mai sotto l'11° posto su 16</w:t>
      </w:r>
      <w:r>
        <w:rPr>
          <w:b w:val="0"/>
          <w:i w:val="0"/>
        </w:rPr>
        <w:t xml:space="preserve">, su nessuno dei tre criteri, in nessuna delle sette comunità — e sulla stabilità è </w:t>
      </w:r>
      <w:r>
        <w:rPr>
          <w:b/>
          <w:i w:val="0"/>
        </w:rPr>
        <w:t>sempre 2°</w:t>
      </w:r>
      <w:r>
        <w:rPr>
          <w:b w:val="0"/>
          <w:i w:val="0"/>
        </w:rPr>
        <w:t>. È il modo rigoroso per dire quello che altrimenti resterebbe un'impressione: non è mai fra i cattivi.</w:t>
      </w:r>
    </w:p>
    <w:p>
      <w:r>
        <w:rPr>
          <w:b w:val="0"/>
          <w:i w:val="0"/>
        </w:rPr>
        <w:t xml:space="preserve">Il </w:t>
      </w:r>
      <w:r>
        <w:rPr>
          <w:b/>
          <w:i w:val="0"/>
        </w:rPr>
        <w:t>Nucleolo è sempre 1° sulla stabilità</w:t>
      </w:r>
      <w:r>
        <w:rPr>
          <w:b w:val="0"/>
          <w:i w:val="0"/>
        </w:rPr>
        <w:t xml:space="preserve">, e non è fortuna: è costruito per minimizzare l'instabilità, quindi esserlo è la sua definizione matematica. Il VLC gli resta incollato al 2° perché lavora dentro lo stesso confine di stabilità, scegliendo un punto diverso al suo interno. Ma a 14.3% il Nucleolo </w:t>
      </w:r>
      <w:r>
        <w:rPr>
          <w:b/>
          <w:i w:val="0"/>
        </w:rPr>
        <w:t>crolla al 16° posto su due criteri contemporaneamente</w:t>
      </w:r>
      <w:r>
        <w:rPr>
          <w:b w:val="0"/>
          <w:i w:val="0"/>
        </w:rPr>
        <w:t>; il VLC, nella stessa comunità, resta 4°, 2° e 6°.</w:t>
      </w:r>
    </w:p>
    <w:p>
      <w:pPr>
        <w:spacing w:before="160" w:after="40"/>
        <w:ind w:left="283"/>
      </w:pPr>
      <w:r>
        <w:rPr>
          <w:b/>
          <w:color w:val="165C9E"/>
          <w:sz w:val="17"/>
        </w:rPr>
        <w:t>DA SAPERE PER LA RIPRODUCIBILITÀ</w:t>
      </w:r>
    </w:p>
    <w:p>
      <w:pPr>
        <w:spacing w:after="120"/>
        <w:ind w:left="283"/>
      </w:pPr>
      <w:r>
        <w:rPr>
          <w:b w:val="0"/>
          <w:i w:val="0"/>
        </w:rPr>
        <w:t xml:space="preserve">Questa tabella </w:t>
      </w:r>
      <w:r>
        <w:rPr>
          <w:b/>
          <w:i w:val="0"/>
        </w:rPr>
        <w:t>non si ricava dai quattro CSV</w:t>
      </w:r>
      <w:r>
        <w:rPr>
          <w:b w:val="0"/>
          <w:i w:val="0"/>
        </w:rPr>
        <w:t>: richiede i valori grezzi di Tfair per tutti i sedici metodi, che oggi non vengono esportati. Per renderla riproducibile aprendo un file basterebbe aggiungere un quinto export.</w:t>
      </w:r>
    </w:p>
    <w:p>
      <w:pPr>
        <w:pStyle w:val="Heading2"/>
      </w:pPr>
      <w:r>
        <w:rPr>
          <w:rFonts w:ascii="Calibri Light" w:hAnsi="Calibri Light"/>
          <w:color w:val="1A1F25"/>
        </w:rPr>
        <w:t>4 · Diciotto indicatori, cinque famiglie, poca coerenza interna</w:t>
      </w:r>
    </w:p>
    <w:p>
      <w:r>
        <w:rPr>
          <w:b w:val="0"/>
          <w:i w:val="0"/>
        </w:rPr>
        <w:t>Mediando il τ-b su tutte le coppie di indicatori dentro e fra le famiglie, e su tutte le comunità: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928"/>
            <w:shd w:val="clear" w:fill="E8EBEE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429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Uniform.</w:t>
            </w:r>
          </w:p>
        </w:tc>
        <w:tc>
          <w:tcPr>
            <w:tcW w:type="dxa" w:w="1429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Merito</w:t>
            </w:r>
          </w:p>
        </w:tc>
        <w:tc>
          <w:tcPr>
            <w:tcW w:type="dxa" w:w="1429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Stabil.</w:t>
            </w:r>
          </w:p>
        </w:tc>
        <w:tc>
          <w:tcPr>
            <w:tcW w:type="dxa" w:w="1429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Comport.</w:t>
            </w:r>
          </w:p>
        </w:tc>
        <w:tc>
          <w:tcPr>
            <w:tcW w:type="dxa" w:w="1429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Conven.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Uniformità</w:t>
            </w:r>
          </w:p>
        </w:tc>
        <w:tc>
          <w:tcPr>
            <w:tcW w:type="dxa" w:w="1429"/>
            <w:shd w:val="clear" w:fill="DCE8F4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0.40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−0.22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−0.29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−0.26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0.25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Merito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−0.22</w:t>
            </w:r>
          </w:p>
        </w:tc>
        <w:tc>
          <w:tcPr>
            <w:tcW w:type="dxa" w:w="1429"/>
            <w:shd w:val="clear" w:fill="C9DEF2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0.88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0.68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0.08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−0.22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Stabilità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−0.29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0.68</w:t>
            </w:r>
          </w:p>
        </w:tc>
        <w:tc>
          <w:tcPr>
            <w:tcW w:type="dxa" w:w="1429"/>
            <w:shd w:val="clear" w:fill="D5E4F2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0.72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0.13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−0.19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Comportamento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−0.26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0.08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0.13</w:t>
            </w:r>
          </w:p>
        </w:tc>
        <w:tc>
          <w:tcPr>
            <w:tcW w:type="dxa" w:w="1429"/>
            <w:shd w:val="clear" w:fill="E4EDF6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0.29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0.06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Convenienza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0.25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−0.22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−0.19</w:t>
            </w:r>
          </w:p>
        </w:tc>
        <w:tc>
          <w:tcPr>
            <w:tcW w:type="dxa" w:w="1429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0.06</w:t>
            </w:r>
          </w:p>
        </w:tc>
        <w:tc>
          <w:tcPr>
            <w:tcW w:type="dxa" w:w="1429"/>
            <w:shd w:val="clear" w:fill="EEF0F2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—</w:t>
            </w:r>
          </w:p>
        </w:tc>
      </w:tr>
    </w:tbl>
    <w:p>
      <w:pPr>
        <w:spacing w:after="80"/>
      </w:pPr>
    </w:p>
    <w:p>
      <w:r>
        <w:rPr>
          <w:b w:val="0"/>
          <w:i w:val="0"/>
          <w:color w:val="5A646E"/>
          <w:sz w:val="19"/>
        </w:rPr>
        <w:t>La diagonale (celle evidenziate) misura la coerenza interna di ciascuna famiglia. «Convenienza» ha un solo indicatore, quindi non ha coerenza interna da misurare.</w:t>
      </w:r>
    </w:p>
    <w:p>
      <w:pPr>
        <w:pStyle w:val="ListBullet"/>
      </w:pPr>
      <w:r>
        <w:rPr>
          <w:b/>
          <w:i w:val="0"/>
        </w:rPr>
        <w:t>Merito e Stabilità sono quasi la stessa domanda</w:t>
      </w:r>
      <w:r>
        <w:rPr>
          <w:b w:val="0"/>
          <w:i w:val="0"/>
        </w:rPr>
        <w:t xml:space="preserve"> (0.68): chi si avvicina al contributo marginale tende anche a reggere coalizionalmente.</w:t>
      </w:r>
    </w:p>
    <w:p>
      <w:pPr>
        <w:pStyle w:val="ListBullet"/>
      </w:pPr>
      <w:r>
        <w:rPr>
          <w:b/>
          <w:i w:val="0"/>
        </w:rPr>
        <w:t>La Convenienza economica è indipendente da tutto</w:t>
      </w:r>
      <w:r>
        <w:rPr>
          <w:b w:val="0"/>
          <w:i w:val="0"/>
        </w:rPr>
        <w:t xml:space="preserve"> (mai oltre 0.25 in valore assoluto). Non è un quarto modo di misurare l'equità: è un criterio a sé.</w:t>
      </w:r>
    </w:p>
    <w:p>
      <w:pPr>
        <w:pStyle w:val="ListBullet"/>
      </w:pPr>
      <w:r>
        <w:rPr>
          <w:b/>
          <w:i w:val="0"/>
        </w:rPr>
        <w:t>La diagonale è il risultato nuovo.</w:t>
      </w:r>
      <w:r>
        <w:rPr>
          <w:b w:val="0"/>
          <w:i w:val="0"/>
        </w:rPr>
        <w:t xml:space="preserve"> La famiglia Merito è internamente coerente (0.88), la Stabilità pure (0.72) — ma l'Uniformità è solo 0.40 e il Comportamento 0.29. Otto indicatori che condividono l'etichetta «uniformità» non condividono sempre il giudizio.</w:t>
      </w:r>
    </w:p>
    <w:p>
      <w:pPr>
        <w:spacing w:before="160" w:after="40"/>
        <w:ind w:left="283"/>
      </w:pPr>
      <w:r>
        <w:rPr>
          <w:b/>
          <w:color w:val="8E3F31"/>
          <w:sz w:val="17"/>
        </w:rPr>
        <w:t>CORREZIONE RISPETTO A UNA VERSIONE PRECEDENTE</w:t>
      </w:r>
    </w:p>
    <w:p>
      <w:pPr>
        <w:spacing w:after="120"/>
        <w:ind w:left="283"/>
      </w:pPr>
      <w:r>
        <w:rPr>
          <w:b w:val="0"/>
          <w:i w:val="0"/>
        </w:rPr>
        <w:t xml:space="preserve">Una prima versione di questa tabella usava </w:t>
      </w:r>
      <w:r>
        <w:rPr>
          <w:b/>
          <w:i w:val="0"/>
        </w:rPr>
        <w:t>un solo indicatore rappresentante</w:t>
      </w:r>
      <w:r>
        <w:rPr>
          <w:b w:val="0"/>
          <w:i w:val="0"/>
        </w:rPr>
        <w:t xml:space="preserve"> per famiglia, e dava «Uniformità contro Comportamento = −0.61», presentandolo come il conflitto dominante, due volte e mezzo quello con la Stabilità. </w:t>
      </w:r>
      <w:r>
        <w:rPr>
          <w:b/>
          <w:i w:val="0"/>
        </w:rPr>
        <w:t>Non regge.</w:t>
      </w:r>
      <w:r>
        <w:rPr>
          <w:b w:val="0"/>
          <w:i w:val="0"/>
        </w:rPr>
        <w:t xml:space="preserve"> Mediando su tutte le coppie, i due contrasti sono quasi uguali: </w:t>
      </w:r>
      <w:r>
        <w:rPr>
          <w:b/>
          <w:i w:val="0"/>
        </w:rPr>
        <w:t>−0.26 contro −0.29</w:t>
      </w:r>
      <w:r>
        <w:rPr>
          <w:b w:val="0"/>
          <w:i w:val="0"/>
        </w:rPr>
        <w:t>. La versione semplificata esagerava, perché EI_orig è uno degli indicatori di Uniformità più opposti al Comportamento, ma non rappresenta la media della sua famiglia.</w:t>
      </w:r>
    </w:p>
    <w:p>
      <w:pPr>
        <w:spacing w:after="120"/>
        <w:ind w:left="283"/>
      </w:pPr>
      <w:r>
        <w:rPr>
          <w:b w:val="0"/>
          <w:i w:val="0"/>
        </w:rPr>
        <w:t>La versione qui sopra è quella da usare: non richiede di giustificare perché si sia scelto un indicatore invece di un altro.</w:t>
      </w:r>
    </w:p>
    <w:p>
      <w:pPr>
        <w:pStyle w:val="Heading2"/>
      </w:pPr>
      <w:r>
        <w:rPr>
          <w:rFonts w:ascii="Calibri Light" w:hAnsi="Calibri Light"/>
          <w:color w:val="1A1F25"/>
        </w:rPr>
        <w:t>5 · Quanto la graduatoria dipende dalla composizione</w:t>
      </w:r>
    </w:p>
    <w:p>
      <w:pPr>
        <w:spacing w:before="160" w:after="40"/>
        <w:ind w:left="283"/>
      </w:pPr>
      <w:r>
        <w:rPr>
          <w:b/>
          <w:color w:val="9A6314"/>
          <w:sz w:val="17"/>
        </w:rPr>
        <w:t>IL NUMERO DI TESTA</w:t>
      </w:r>
    </w:p>
    <w:p>
      <w:pPr>
        <w:spacing w:after="120"/>
        <w:ind w:left="283"/>
      </w:pPr>
      <w:r>
        <w:rPr>
          <w:b w:val="0"/>
          <w:i w:val="0"/>
        </w:rPr>
        <w:t xml:space="preserve">Su </w:t>
      </w:r>
      <w:r>
        <w:rPr>
          <w:b/>
          <w:i w:val="0"/>
        </w:rPr>
        <w:t>2 160 confronti</w:t>
      </w:r>
      <w:r>
        <w:rPr>
          <w:b w:val="0"/>
          <w:i w:val="0"/>
        </w:rPr>
        <w:t xml:space="preserve"> — diciotto indicatori per centoventi coppie di metodi — </w:t>
      </w:r>
      <w:r>
        <w:rPr>
          <w:b/>
          <w:i w:val="0"/>
        </w:rPr>
        <w:t>1 132 (52%) si invertono almeno una volta</w:t>
      </w:r>
      <w:r>
        <w:rPr>
          <w:b w:val="0"/>
          <w:i w:val="0"/>
        </w:rPr>
        <w:t xml:space="preserve"> cambiando comunità, con 1 943 sorpassi in totale, e </w:t>
      </w:r>
      <w:r>
        <w:rPr>
          <w:b/>
          <w:i w:val="0"/>
        </w:rPr>
        <w:t>715 (33%) sono invertiti fra i due estremi</w:t>
      </w:r>
      <w:r>
        <w:rPr>
          <w:b w:val="0"/>
          <w:i w:val="0"/>
        </w:rPr>
        <w:t>: chi vince con un prosumer non è chi vince con sette.</w:t>
      </w:r>
    </w:p>
    <w:p>
      <w:r>
        <w:rPr>
          <w:b w:val="0"/>
          <w:i w:val="0"/>
        </w:rPr>
        <w:t>Ma non tutti i criteri sono ugualmente fragili: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268"/>
            <w:shd w:val="clear" w:fill="E8EBEE"/>
          </w:tcPr>
          <w:p>
            <w:r/>
            <w:r>
              <w:rPr>
                <w:b/>
                <w:sz w:val="18"/>
              </w:rPr>
              <w:t>Indicatore</w:t>
            </w:r>
          </w:p>
        </w:tc>
        <w:tc>
          <w:tcPr>
            <w:tcW w:type="dxa" w:w="1814"/>
            <w:shd w:val="clear" w:fill="E8EBEE"/>
          </w:tcPr>
          <w:p>
            <w:r/>
            <w:r>
              <w:rPr>
                <w:b/>
                <w:sz w:val="18"/>
              </w:rPr>
              <w:t>Famiglia</w:t>
            </w:r>
          </w:p>
        </w:tc>
        <w:tc>
          <w:tcPr>
            <w:tcW w:type="dxa" w:w="1928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Coppie che si invertono</w:t>
            </w:r>
          </w:p>
        </w:tc>
        <w:tc>
          <w:tcPr>
            <w:tcW w:type="dxa" w:w="1701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Invertite agli estremi</w:t>
            </w:r>
          </w:p>
        </w:tc>
        <w:tc>
          <w:tcPr>
            <w:tcW w:type="dxa" w:w="1361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Distacco tipico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EccessoMax_EUR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stabilità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36%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17%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473 €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ForzaIncentivante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comportamento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46%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29%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1.26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FairnessIndex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merito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47%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30%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0.46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EI_orig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uniformità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54%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41%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0.33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VAN_min_EUR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convenienza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86%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56%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1 021 €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La stabilità è il criterio più robusto, la convenienza economica il meno.</w:t>
      </w:r>
      <w:r>
        <w:rPr>
          <w:b w:val="0"/>
          <w:i w:val="0"/>
        </w:rPr>
        <w:t xml:space="preserve"> Una graduatoria costruita sul VAN non sopravvive a un cambio di composizione; una costruita sulla stabilità sì.</w:t>
      </w:r>
    </w:p>
    <w:p>
      <w:pPr>
        <w:pStyle w:val="Heading2"/>
      </w:pPr>
      <w:r>
        <w:rPr>
          <w:rFonts w:ascii="Calibri Light" w:hAnsi="Calibri Light"/>
          <w:color w:val="1A1F25"/>
        </w:rPr>
        <w:t>6 · Dove si concentra l'instabilità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5669"/>
            <w:shd w:val="clear" w:fill="E8EBEE"/>
          </w:tcPr>
          <w:p>
            <w:r/>
            <w:r>
              <w:rPr>
                <w:b/>
                <w:sz w:val="18"/>
              </w:rPr>
              <w:t>Transizione (penetrazione prosumer)</w:t>
            </w:r>
          </w:p>
        </w:tc>
        <w:tc>
          <w:tcPr>
            <w:tcW w:type="dxa" w:w="3402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Sorpassi registrati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14.3% → 28.6%  (da 1 a 2 impianti)</w:t>
            </w:r>
          </w:p>
        </w:tc>
        <w:tc>
          <w:tcPr>
            <w:tcW w:type="dxa" w:w="3402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524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28.6% → 42.9%</w:t>
            </w:r>
          </w:p>
        </w:tc>
        <w:tc>
          <w:tcPr>
            <w:tcW w:type="dxa" w:w="3402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215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42.9% → 57.1%</w:t>
            </w:r>
          </w:p>
        </w:tc>
        <w:tc>
          <w:tcPr>
            <w:tcW w:type="dxa" w:w="3402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317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57.1% → 71.4%</w:t>
            </w:r>
          </w:p>
        </w:tc>
        <w:tc>
          <w:tcPr>
            <w:tcW w:type="dxa" w:w="3402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172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71.4% → 85.7%</w:t>
            </w:r>
          </w:p>
        </w:tc>
        <w:tc>
          <w:tcPr>
            <w:tcW w:type="dxa" w:w="3402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363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85.7% → 100%</w:t>
            </w:r>
          </w:p>
        </w:tc>
        <w:tc>
          <w:tcPr>
            <w:tcW w:type="dxa" w:w="3402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348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Il 27% di tutti i sorpassi avviene in un solo tratto</w:t>
      </w:r>
      <w:r>
        <w:rPr>
          <w:b w:val="0"/>
          <w:i w:val="0"/>
        </w:rPr>
        <w:t>, quello fra uno e due prosumer. Aggiungere il secondo impianto sconvolge le graduatorie più di qualunque passo successivo.</w:t>
      </w:r>
    </w:p>
    <w:p>
      <w:pPr>
        <w:pStyle w:val="Heading2"/>
      </w:pPr>
      <w:r>
        <w:rPr>
          <w:rFonts w:ascii="Calibri Light" w:hAnsi="Calibri Light"/>
          <w:color w:val="1A1F25"/>
        </w:rPr>
        <w:t>7 · Anche il disaccordo dipende dalla composizione</w:t>
      </w:r>
    </w:p>
    <w:p>
      <w:r>
        <w:rPr>
          <w:b w:val="0"/>
          <w:i w:val="0"/>
        </w:rPr>
        <w:t>La divergenza fra uniformità e stabilità — quella per cui l'Equal Split è primo su una e ultimo sull'altra — non è una costante: è massima dove i prosumer sono pochi, e in una configurazione cambia perfino segno.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535"/>
            <w:shd w:val="clear" w:fill="E8EBEE"/>
          </w:tcPr>
          <w:p>
            <w:r/>
            <w:r>
              <w:rPr>
                <w:b/>
                <w:sz w:val="18"/>
              </w:rPr>
              <w:t>Membri con impianto</w:t>
            </w:r>
          </w:p>
        </w:tc>
        <w:tc>
          <w:tcPr>
            <w:tcW w:type="dxa" w:w="4535"/>
            <w:shd w:val="clear" w:fill="E8EBEE"/>
          </w:tcPr>
          <w:p>
            <w:pPr>
              <w:jc w:val="right"/>
            </w:pPr>
            <w:r/>
            <w:r>
              <w:rPr>
                <w:b/>
                <w:sz w:val="18"/>
              </w:rPr>
              <w:t>Accordo uniformità–stabilità (τ)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1 su 7</w:t>
            </w:r>
          </w:p>
        </w:tc>
        <w:tc>
          <w:tcPr>
            <w:tcW w:type="dxa" w:w="4535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−0.60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2 su 7</w:t>
            </w:r>
          </w:p>
        </w:tc>
        <w:tc>
          <w:tcPr>
            <w:tcW w:type="dxa" w:w="4535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−0.38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3 su 7</w:t>
            </w:r>
          </w:p>
        </w:tc>
        <w:tc>
          <w:tcPr>
            <w:tcW w:type="dxa" w:w="4535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−0.19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4 su 7</w:t>
            </w:r>
          </w:p>
        </w:tc>
        <w:tc>
          <w:tcPr>
            <w:tcW w:type="dxa" w:w="4535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−0.33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5 su 7</w:t>
            </w:r>
          </w:p>
        </w:tc>
        <w:tc>
          <w:tcPr>
            <w:tcW w:type="dxa" w:w="4535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−0.29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6 su 7</w:t>
            </w:r>
          </w:p>
        </w:tc>
        <w:tc>
          <w:tcPr>
            <w:tcW w:type="dxa" w:w="4535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+0.16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7 su 7</w:t>
            </w:r>
          </w:p>
        </w:tc>
        <w:tc>
          <w:tcPr>
            <w:tcW w:type="dxa" w:w="4535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sz w:val="18"/>
              </w:rPr>
              <w:t>−0.08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Con un solo prosumer i due criteri si oppongono nettamente; con sette sono quasi indipendenti. A sei prosumer l'accordo passa in positivo. La divergenza raccontata in letteratura è una funzione della composizione, non una proprietà fissa delle comunità energetiche.</w:t>
      </w:r>
    </w:p>
    <w:p>
      <w:pPr>
        <w:pStyle w:val="Heading2"/>
      </w:pPr>
      <w:r>
        <w:rPr>
          <w:rFonts w:ascii="Calibri Light" w:hAnsi="Calibri Light"/>
          <w:color w:val="1A1F25"/>
        </w:rPr>
        <w:t>8 · Un dettaglio che merita attenzione</w:t>
      </w:r>
    </w:p>
    <w:p>
      <w:r>
        <w:rPr>
          <w:b w:val="0"/>
          <w:i w:val="0"/>
        </w:rPr>
        <w:t xml:space="preserve">Lo Shapley value </w:t>
      </w:r>
      <w:r>
        <w:rPr>
          <w:b/>
          <w:i w:val="0"/>
        </w:rPr>
        <w:t>non si comporta in modo monotono</w:t>
      </w:r>
      <w:r>
        <w:rPr>
          <w:b w:val="0"/>
          <w:i w:val="0"/>
        </w:rPr>
        <w:t xml:space="preserve"> sulla stabilità: è dentro il nucleo ai due estremi dell'asse — con sette prosumer e con uno solo — ma ne esce nelle configurazioni intermedie, dove tre o quattro membri su sette hanno un impianto. Non è un andamento che si intuisce, e vale la pena capirne la ragione.</w:t>
      </w:r>
    </w:p>
    <w:p>
      <w:r>
        <w:br w:type="page"/>
      </w:r>
    </w:p>
    <w:p>
      <w:pPr>
        <w:pStyle w:val="Heading1"/>
      </w:pPr>
      <w:r>
        <w:rPr>
          <w:rFonts w:ascii="Calibri Light" w:hAnsi="Calibri Light"/>
          <w:color w:val="1A1F25"/>
        </w:rPr>
        <w:t>Parte 08 · Limiti, e cosa manca per chiudere il cerchio</w:t>
      </w:r>
    </w:p>
    <w:p>
      <w:r>
        <w:rPr>
          <w:b w:val="0"/>
          <w:i w:val="0"/>
        </w:rPr>
        <w:t>I risultati sopra valgono lungo un solo asse di composizione. È il limite principale, e va dichiarato prima di generalizzare.</w:t>
      </w:r>
    </w:p>
    <w:p>
      <w:r>
        <w:rPr>
          <w:b w:val="0"/>
          <w:i w:val="0"/>
        </w:rPr>
        <w:t xml:space="preserve">Tutte e sette le comunità hanno </w:t>
      </w:r>
      <w:r>
        <w:rPr>
          <w:b/>
          <w:i w:val="0"/>
        </w:rPr>
        <w:t>sette membri</w:t>
      </w:r>
      <w:r>
        <w:rPr>
          <w:b w:val="0"/>
          <w:i w:val="0"/>
        </w:rPr>
        <w:t xml:space="preserve"> e la stessa ripartizione per categoria: un terziario, un industriale, un commerciale, quattro domestici. Varia soltanto chi possiede un impianto. La formulazione onesta è quindi </w:t>
      </w:r>
      <w:r>
        <w:rPr>
          <w:b w:val="0"/>
          <w:i/>
        </w:rPr>
        <w:t>«al variare della penetrazione di prosumer»</w:t>
      </w:r>
      <w:r>
        <w:rPr>
          <w:b w:val="0"/>
          <w:i w:val="0"/>
        </w:rPr>
        <w:t xml:space="preserve">, non </w:t>
      </w:r>
      <w:r>
        <w:rPr>
          <w:b w:val="0"/>
          <w:i/>
        </w:rPr>
        <w:t>«al variare della composizione»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494"/>
            <w:shd w:val="clear" w:fill="E8EBEE"/>
          </w:tcPr>
          <w:p>
            <w:r/>
            <w:r>
              <w:rPr>
                <w:b/>
                <w:sz w:val="18"/>
              </w:rPr>
              <w:t>Asse</w:t>
            </w:r>
          </w:p>
        </w:tc>
        <w:tc>
          <w:tcPr>
            <w:tcW w:type="dxa" w:w="2608"/>
            <w:shd w:val="clear" w:fill="E8EBEE"/>
          </w:tcPr>
          <w:p>
            <w:r/>
            <w:r>
              <w:rPr>
                <w:b/>
                <w:sz w:val="18"/>
              </w:rPr>
              <w:t>Stato</w:t>
            </w:r>
          </w:p>
        </w:tc>
        <w:tc>
          <w:tcPr>
            <w:tcW w:type="dxa" w:w="3969"/>
            <w:shd w:val="clear" w:fill="E8EBEE"/>
          </w:tcPr>
          <w:p>
            <w:r/>
            <w:r>
              <w:rPr>
                <w:b/>
                <w:sz w:val="18"/>
              </w:rPr>
              <w:t>Cosa serve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Penetrazione prosumer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coperto, 7 configurazioni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Composizione per categoria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non coperto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9"/>
              </w:rPr>
              <w:t>nuove schede e i profili corrispondenti; nessun ostacolo tecnico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Numero di membri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non coperto, e con un ostacolo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9"/>
              </w:rPr>
              <w:t>oltre ~20 membri Shapley, Nucleolo e Nash Bargaining diventano impossibili da calcolare</w:t>
            </w:r>
          </w:p>
        </w:tc>
      </w:tr>
    </w:tbl>
    <w:p>
      <w:pPr>
        <w:spacing w:after="80"/>
      </w:pPr>
    </w:p>
    <w:p>
      <w:pPr>
        <w:spacing w:before="160" w:after="40"/>
        <w:ind w:left="283"/>
      </w:pPr>
      <w:r>
        <w:rPr>
          <w:b/>
          <w:color w:val="8E3F31"/>
          <w:sz w:val="17"/>
        </w:rPr>
        <w:t>LA DECISIONE DA PRENDERE PRIMA DI GENERARE NUOVI DATI</w:t>
      </w:r>
    </w:p>
    <w:p>
      <w:pPr>
        <w:spacing w:after="120"/>
        <w:ind w:left="283"/>
      </w:pPr>
      <w:r>
        <w:rPr>
          <w:b w:val="0"/>
          <w:i w:val="0"/>
        </w:rPr>
        <w:t xml:space="preserve">Shapley, Nucleolo e Nash Bargaining devono valutare </w:t>
      </w:r>
      <w:r>
        <w:rPr>
          <w:b/>
          <w:i w:val="0"/>
        </w:rPr>
        <w:t>tutti i sottoinsiemi possibili</w:t>
      </w:r>
      <w:r>
        <w:rPr>
          <w:b w:val="0"/>
          <w:i w:val="0"/>
        </w:rPr>
        <w:t xml:space="preserve"> di membri: con venti membri sono già oltre un milione, con cento è irrealizzabile. Quindi </w:t>
      </w:r>
      <w:r>
        <w:rPr>
          <w:b/>
          <w:i w:val="0"/>
        </w:rPr>
        <w:t>o si resta sotto la ventina</w:t>
      </w:r>
      <w:r>
        <w:rPr>
          <w:b w:val="0"/>
          <w:i w:val="0"/>
        </w:rPr>
        <w:t xml:space="preserve"> tenendo tutte e sedici le regole, </w:t>
      </w:r>
      <w:r>
        <w:rPr>
          <w:b/>
          <w:i w:val="0"/>
        </w:rPr>
        <w:t>oppure si va su comunità grandi</w:t>
      </w:r>
      <w:r>
        <w:rPr>
          <w:b w:val="0"/>
          <w:i w:val="0"/>
        </w:rPr>
        <w:t xml:space="preserve"> confrontando solo quelle che scalano — approssimazioni, regole semplificate, comportamentali e Variance Least Core.</w:t>
      </w:r>
    </w:p>
    <w:p>
      <w:pPr>
        <w:pStyle w:val="Heading2"/>
      </w:pPr>
      <w:r>
        <w:rPr>
          <w:rFonts w:ascii="Calibri Light" w:hAnsi="Calibri Light"/>
          <w:color w:val="1A1F25"/>
        </w:rPr>
        <w:t>Altre cautele</w:t>
      </w:r>
    </w:p>
    <w:p>
      <w:pPr>
        <w:pStyle w:val="ListBullet"/>
      </w:pPr>
      <w:r>
        <w:rPr>
          <w:b/>
          <w:i w:val="0"/>
        </w:rPr>
        <w:t>Tri-level EP</w:t>
      </w:r>
      <w:r>
        <w:rPr>
          <w:b w:val="0"/>
          <w:i w:val="0"/>
        </w:rPr>
        <w:t xml:space="preserve"> gira su dati segnaposto (redditi, spese per il gas, soglie di povertà energetica) e non va usata per conclusioni.</w:t>
      </w:r>
    </w:p>
    <w:p>
      <w:pPr>
        <w:pStyle w:val="ListBullet"/>
      </w:pPr>
      <w:r>
        <w:rPr>
          <w:b/>
          <w:i w:val="0"/>
        </w:rPr>
        <w:t>Tre indicatori variano pochissimo</w:t>
      </w:r>
      <w:r>
        <w:rPr>
          <w:b w:val="0"/>
          <w:i w:val="0"/>
        </w:rPr>
        <w:t xml:space="preserve"> fra i metodi (MinMax_con, QoS_new, e in parte Jain/QoS_orig), perché su queste comunità solo una piccola parte dell'energia condivisa è davvero contendibile. Le loro inversioni hanno distacchi dell'ordine di un millesimo e vanno escluse dai conteggi.</w:t>
      </w:r>
    </w:p>
    <w:p>
      <w:pPr>
        <w:pStyle w:val="ListBullet"/>
      </w:pPr>
      <w:r>
        <w:rPr>
          <w:b/>
          <w:i w:val="0"/>
        </w:rPr>
        <w:t>La comunità con sei prosumer su sette</w:t>
      </w:r>
      <w:r>
        <w:rPr>
          <w:b w:val="0"/>
          <w:i w:val="0"/>
        </w:rPr>
        <w:t xml:space="preserve"> si comporta in modo anomalo su tre indicatori indipendenti — va controllata prima di citarla.</w:t>
      </w:r>
    </w:p>
    <w:p>
      <w:pPr>
        <w:pStyle w:val="ListBullet"/>
      </w:pPr>
      <w:r>
        <w:rPr>
          <w:b/>
          <w:i w:val="0"/>
        </w:rPr>
        <w:t>Una comunità non ha le quote di investimento</w:t>
      </w:r>
      <w:r>
        <w:rPr>
          <w:b w:val="0"/>
          <w:i w:val="0"/>
        </w:rPr>
        <w:t xml:space="preserve"> compilate, quindi non contribuisce al criterio di convenienza economica.</w:t>
      </w:r>
    </w:p>
    <w:p>
      <w:pPr>
        <w:pStyle w:val="ListBullet"/>
      </w:pPr>
      <w:r>
        <w:rPr>
          <w:b/>
          <w:i w:val="0"/>
        </w:rPr>
        <w:t>I valori grezzi di Tfair non sono esportati</w:t>
      </w:r>
      <w:r>
        <w:rPr>
          <w:b w:val="0"/>
          <w:i w:val="0"/>
        </w:rPr>
        <w:t>: alcune conclusioni (la tabella delle posizioni del VLC) non sono oggi riproducibili aprendo solo i quattro CSV.</w:t>
      </w:r>
    </w:p>
    <w:p>
      <w:pPr>
        <w:pStyle w:val="Heading2"/>
      </w:pPr>
      <w:r>
        <w:rPr>
          <w:rFonts w:ascii="Calibri Light" w:hAnsi="Calibri Light"/>
          <w:color w:val="1A1F25"/>
        </w:rPr>
        <w:t>Il gap della letteratura: quanto è coperto</w:t>
      </w:r>
    </w:p>
    <w:p>
      <w:r>
        <w:rPr>
          <w:b w:val="0"/>
          <w:i w:val="0"/>
        </w:rPr>
        <w:t xml:space="preserve">Il regime studiato — </w:t>
      </w:r>
      <w:r>
        <w:rPr>
          <w:b/>
          <w:i w:val="0"/>
        </w:rPr>
        <w:t>trasferimento regolato invece di surplus di mercato</w:t>
      </w:r>
      <w:r>
        <w:rPr>
          <w:b w:val="0"/>
          <w:i w:val="0"/>
        </w:rPr>
        <w:t xml:space="preserve"> — è implementato in pieno, ed è la condizione sotto cui la letteratura di riferimento dichiara di non aver confrontato nulla. Il vincolo normativo sulle allocazioni ammissibili c'è ed è letterale, anche se su questi dati non si attiva mai. Le due clausole sull'accordo fra indicatori e sulla dipendenza dalla composizione sono </w:t>
      </w:r>
      <w:r>
        <w:rPr>
          <w:b/>
          <w:i w:val="0"/>
        </w:rPr>
        <w:t>misurate</w:t>
      </w:r>
      <w:r>
        <w:rPr>
          <w:b w:val="0"/>
          <w:i w:val="0"/>
        </w:rPr>
        <w:t xml:space="preserve"> e non più solo mostrate.</w:t>
      </w:r>
    </w:p>
    <w:p>
      <w:r>
        <w:rPr>
          <w:b w:val="0"/>
          <w:i w:val="0"/>
        </w:rPr>
        <w:t xml:space="preserve">Resta scoperto il </w:t>
      </w:r>
      <w:r>
        <w:rPr>
          <w:b/>
          <w:i w:val="0"/>
        </w:rPr>
        <w:t>lato empirico</w:t>
      </w:r>
      <w:r>
        <w:rPr>
          <w:b w:val="0"/>
          <w:i w:val="0"/>
        </w:rPr>
        <w:t>: due assi di composizione su tre. E restano due allineamenti fra testo e codice — la famiglia price-based, che il capitolo promette di valutare ma che sotto CACER non si applica, e le ipotesi provvisorie del Tri-level EP.</w:t>
      </w:r>
    </w:p>
    <w:p/>
    <w:p>
      <w:r>
        <w:rPr>
          <w:i/>
          <w:color w:val="5A646E"/>
          <w:sz w:val="17"/>
        </w:rPr>
        <w:t>Numeri verificati sull'esecuzione di riferimento del modello — sette comunità, settembre 2026. I dati di supporto sono in outputs/tables/confronto/, riproducibili eseguendo MAIN.m. Le tabelle delle posizioni in classifica e i valori per metodo richiedono l'output di Tfair, oggi non esportato su file.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