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2E5096"/>
          <w:sz w:val="28"/>
          <w:szCs w:val="28"/>
        </w:rPr>
        <w:t xml:space="preserve">Literature Survey: Demand Forecasting and Inventory Management in Supply Chains</w:t>
      </w:r>
    </w:p>
    <w:p>
      <w:pPr>
        <w:spacing w:after="120"/>
      </w:pPr>
      <w:r>
        <w:rPr>
          <w:rFonts w:ascii="Calibri" w:cs="Calibri" w:eastAsia="Calibri" w:hAnsi="Calibri"/>
          <w:b/>
          <w:bCs/>
          <w:color w:val="2E5096"/>
          <w:sz w:val="24"/>
          <w:szCs w:val="24"/>
        </w:rPr>
        <w:t xml:space="preserve">Introduction</w:t>
      </w:r>
    </w:p>
    <w:p>
      <w:pPr>
        <w:spacing w:after="240"/>
      </w:pPr>
      <w:r>
        <w:rPr>
          <w:rFonts w:ascii="Calibri" w:cs="Calibri" w:eastAsia="Calibri" w:hAnsi="Calibri"/>
          <w:sz w:val="20"/>
          <w:szCs w:val="20"/>
        </w:rPr>
        <w:t xml:space="preserve">The growing complexity of modern supply chains has intensified interest in machine learning and statistical methods for demand forecasting and inventory optimization. This survey synthesizes four recent studies (2024–2026) addressing these challenges across the energy, construction, manufacturing, and general supply chain sectors.</w:t>
      </w:r>
    </w:p>
    <w:p>
      <w:pPr>
        <w:spacing w:after="120"/>
      </w:pPr>
      <w:r>
        <w:rPr>
          <w:rFonts w:ascii="Calibri" w:cs="Calibri" w:eastAsia="Calibri" w:hAnsi="Calibri"/>
          <w:b/>
          <w:bCs/>
          <w:color w:val="2E5096"/>
          <w:sz w:val="24"/>
          <w:szCs w:val="24"/>
        </w:rPr>
        <w:t xml:space="preserve">Comparative Analysis Table</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400"/>
        <w:gridCol w:w="3600"/>
        <w:gridCol w:w="3740"/>
      </w:tblGrid>
      <w:tr>
        <w:trPr>
          <w:tblHeader/>
        </w:trPr>
        <w:tc>
          <w:tcPr>
            <w:tcW w:type="dxa" w:w="1600"/>
            <w:shd w:fill="2E5096" w:val="clear"/>
            <w:vAlign w:val="top"/>
          </w:tcPr>
          <w:p>
            <w:pPr>
              <w:jc w:val="left"/>
            </w:pPr>
            <w:r>
              <w:rPr>
                <w:rFonts w:ascii="Calibri" w:cs="Calibri" w:eastAsia="Calibri" w:hAnsi="Calibri"/>
                <w:b/>
                <w:bCs/>
                <w:color w:val="FFFFFF"/>
                <w:sz w:val="20"/>
                <w:szCs w:val="20"/>
              </w:rPr>
              <w:t xml:space="preserve">Author</w:t>
            </w:r>
          </w:p>
        </w:tc>
        <w:tc>
          <w:tcPr>
            <w:tcW w:type="dxa" w:w="900"/>
            <w:shd w:fill="2E5096" w:val="clear"/>
            <w:vAlign w:val="top"/>
          </w:tcPr>
          <w:p>
            <w:pPr>
              <w:jc w:val="left"/>
            </w:pPr>
            <w:r>
              <w:rPr>
                <w:rFonts w:ascii="Calibri" w:cs="Calibri" w:eastAsia="Calibri" w:hAnsi="Calibri"/>
                <w:b/>
                <w:bCs/>
                <w:color w:val="FFFFFF"/>
                <w:sz w:val="20"/>
                <w:szCs w:val="20"/>
              </w:rPr>
              <w:t xml:space="preserve">Year</w:t>
            </w:r>
          </w:p>
        </w:tc>
        <w:tc>
          <w:tcPr>
            <w:tcW w:type="dxa" w:w="2400"/>
            <w:shd w:fill="2E5096" w:val="clear"/>
            <w:vAlign w:val="top"/>
          </w:tcPr>
          <w:p>
            <w:pPr>
              <w:jc w:val="left"/>
            </w:pPr>
            <w:r>
              <w:rPr>
                <w:rFonts w:ascii="Calibri" w:cs="Calibri" w:eastAsia="Calibri" w:hAnsi="Calibri"/>
                <w:b/>
                <w:bCs/>
                <w:color w:val="FFFFFF"/>
                <w:sz w:val="20"/>
                <w:szCs w:val="20"/>
              </w:rPr>
              <w:t xml:space="preserve">Technology Used</w:t>
            </w:r>
          </w:p>
        </w:tc>
        <w:tc>
          <w:tcPr>
            <w:tcW w:type="dxa" w:w="3600"/>
            <w:shd w:fill="2E5096" w:val="clear"/>
            <w:vAlign w:val="top"/>
          </w:tcPr>
          <w:p>
            <w:pPr>
              <w:jc w:val="left"/>
            </w:pPr>
            <w:r>
              <w:rPr>
                <w:rFonts w:ascii="Calibri" w:cs="Calibri" w:eastAsia="Calibri" w:hAnsi="Calibri"/>
                <w:b/>
                <w:bCs/>
                <w:color w:val="FFFFFF"/>
                <w:sz w:val="20"/>
                <w:szCs w:val="20"/>
              </w:rPr>
              <w:t xml:space="preserve">Advantages</w:t>
            </w:r>
          </w:p>
        </w:tc>
        <w:tc>
          <w:tcPr>
            <w:tcW w:type="dxa" w:w="3740"/>
            <w:shd w:fill="2E5096" w:val="clear"/>
            <w:vAlign w:val="top"/>
          </w:tcPr>
          <w:p>
            <w:pPr>
              <w:jc w:val="left"/>
            </w:pPr>
            <w:r>
              <w:rPr>
                <w:rFonts w:ascii="Calibri" w:cs="Calibri" w:eastAsia="Calibri" w:hAnsi="Calibri"/>
                <w:b/>
                <w:bCs/>
                <w:color w:val="FFFFFF"/>
                <w:sz w:val="20"/>
                <w:szCs w:val="20"/>
              </w:rPr>
              <w:t xml:space="preserve">Limitations</w:t>
            </w:r>
          </w:p>
        </w:tc>
      </w:tr>
      <w:tr>
        <w:tc>
          <w:tcPr>
            <w:tcW w:type="dxa" w:w="1600"/>
            <w:shd w:fill="D9E1F2" w:val="clear"/>
            <w:vAlign w:val="top"/>
          </w:tcPr>
          <w:p>
            <w:pPr>
              <w:jc w:val="left"/>
            </w:pPr>
            <w:r>
              <w:rPr>
                <w:rFonts w:ascii="Calibri" w:cs="Calibri" w:eastAsia="Calibri" w:hAnsi="Calibri"/>
                <w:sz w:val="18"/>
                <w:szCs w:val="18"/>
              </w:rPr>
              <w:t xml:space="preserve">da Silva et al.</w:t>
            </w:r>
          </w:p>
          <w:p>
            <w:pPr>
              <w:jc w:val="left"/>
            </w:pPr>
            <w:r>
              <w:rPr>
                <w:rFonts w:ascii="Calibri" w:cs="Calibri" w:eastAsia="Calibri" w:hAnsi="Calibri"/>
                <w:sz w:val="18"/>
                <w:szCs w:val="18"/>
              </w:rPr>
              <w:t xml:space="preserve">(BASE PAPER)</w:t>
            </w:r>
          </w:p>
        </w:tc>
        <w:tc>
          <w:tcPr>
            <w:tcW w:type="dxa" w:w="900"/>
            <w:shd w:fill="D9E1F2" w:val="clear"/>
            <w:vAlign w:val="top"/>
          </w:tcPr>
          <w:p>
            <w:pPr>
              <w:jc w:val="left"/>
            </w:pPr>
            <w:r>
              <w:rPr>
                <w:rFonts w:ascii="Calibri" w:cs="Calibri" w:eastAsia="Calibri" w:hAnsi="Calibri"/>
                <w:b w:val="false"/>
                <w:bCs w:val="false"/>
                <w:color w:val="000000"/>
                <w:sz w:val="18"/>
                <w:szCs w:val="18"/>
              </w:rPr>
              <w:t xml:space="preserve">2026</w:t>
            </w:r>
          </w:p>
        </w:tc>
        <w:tc>
          <w:tcPr>
            <w:tcW w:type="dxa" w:w="2400"/>
            <w:shd w:fill="D9E1F2" w:val="clear"/>
            <w:vAlign w:val="top"/>
          </w:tcPr>
          <w:p>
            <w:pPr>
              <w:jc w:val="left"/>
            </w:pPr>
            <w:r>
              <w:rPr>
                <w:rFonts w:ascii="Calibri" w:cs="Calibri" w:eastAsia="Calibri" w:hAnsi="Calibri"/>
                <w:sz w:val="18"/>
                <w:szCs w:val="18"/>
              </w:rPr>
              <w:t xml:space="preserve">• Demand classification (ADI &amp; CV²)</w:t>
            </w:r>
          </w:p>
          <w:p>
            <w:pPr>
              <w:jc w:val="left"/>
            </w:pPr>
            <w:r>
              <w:rPr>
                <w:rFonts w:ascii="Calibri" w:cs="Calibri" w:eastAsia="Calibri" w:hAnsi="Calibri"/>
                <w:sz w:val="18"/>
                <w:szCs w:val="18"/>
              </w:rPr>
              <w:t xml:space="preserve">• ARIMA, Holt-Winters</w:t>
            </w:r>
          </w:p>
          <w:p>
            <w:pPr>
              <w:jc w:val="left"/>
            </w:pPr>
            <w:r>
              <w:rPr>
                <w:rFonts w:ascii="Calibri" w:cs="Calibri" w:eastAsia="Calibri" w:hAnsi="Calibri"/>
                <w:sz w:val="18"/>
                <w:szCs w:val="18"/>
              </w:rPr>
              <w:t xml:space="preserve">• Croston's method</w:t>
            </w:r>
          </w:p>
          <w:p>
            <w:pPr>
              <w:jc w:val="left"/>
            </w:pPr>
            <w:r>
              <w:rPr>
                <w:rFonts w:ascii="Calibri" w:cs="Calibri" w:eastAsia="Calibri" w:hAnsi="Calibri"/>
                <w:sz w:val="18"/>
                <w:szCs w:val="18"/>
              </w:rPr>
              <w:t xml:space="preserve">• Moving average</w:t>
            </w:r>
          </w:p>
          <w:p>
            <w:pPr>
              <w:jc w:val="left"/>
            </w:pPr>
            <w:r>
              <w:rPr>
                <w:rFonts w:ascii="Calibri" w:cs="Calibri" w:eastAsia="Calibri" w:hAnsi="Calibri"/>
                <w:sz w:val="18"/>
                <w:szCs w:val="18"/>
              </w:rPr>
              <w:t xml:space="preserve">• Python (scikit-learn)</w:t>
            </w:r>
          </w:p>
        </w:tc>
        <w:tc>
          <w:tcPr>
            <w:tcW w:type="dxa" w:w="3600"/>
            <w:shd w:fill="D9E1F2" w:val="clear"/>
            <w:vAlign w:val="top"/>
          </w:tcPr>
          <w:p>
            <w:pPr>
              <w:jc w:val="left"/>
            </w:pPr>
            <w:r>
              <w:rPr>
                <w:rFonts w:ascii="Calibri" w:cs="Calibri" w:eastAsia="Calibri" w:hAnsi="Calibri"/>
                <w:sz w:val="18"/>
                <w:szCs w:val="18"/>
              </w:rPr>
              <w:t xml:space="preserve">• Systematic demand-type classification before model selection</w:t>
            </w:r>
          </w:p>
          <w:p>
            <w:pPr>
              <w:jc w:val="left"/>
            </w:pPr>
            <w:r>
              <w:rPr>
                <w:rFonts w:ascii="Calibri" w:cs="Calibri" w:eastAsia="Calibri" w:hAnsi="Calibri"/>
                <w:sz w:val="18"/>
                <w:szCs w:val="18"/>
              </w:rPr>
              <w:t xml:space="preserve">• Tailored models for intermittent/lumpy demand</w:t>
            </w:r>
          </w:p>
          <w:p>
            <w:pPr>
              <w:jc w:val="left"/>
            </w:pPr>
            <w:r>
              <w:rPr>
                <w:rFonts w:ascii="Calibri" w:cs="Calibri" w:eastAsia="Calibri" w:hAnsi="Calibri"/>
                <w:sz w:val="18"/>
                <w:szCs w:val="18"/>
              </w:rPr>
              <w:t xml:space="preserve">• Real-world validation in energy sector (spare parts)</w:t>
            </w:r>
          </w:p>
          <w:p>
            <w:pPr>
              <w:jc w:val="left"/>
            </w:pPr>
            <w:r>
              <w:rPr>
                <w:rFonts w:ascii="Calibri" w:cs="Calibri" w:eastAsia="Calibri" w:hAnsi="Calibri"/>
                <w:sz w:val="18"/>
                <w:szCs w:val="18"/>
              </w:rPr>
              <w:t xml:space="preserve">• Improves inventory policy decisions</w:t>
            </w:r>
          </w:p>
        </w:tc>
        <w:tc>
          <w:tcPr>
            <w:tcW w:type="dxa" w:w="3740"/>
            <w:shd w:fill="D9E1F2" w:val="clear"/>
            <w:vAlign w:val="top"/>
          </w:tcPr>
          <w:p>
            <w:pPr>
              <w:jc w:val="left"/>
            </w:pPr>
            <w:r>
              <w:rPr>
                <w:rFonts w:ascii="Calibri" w:cs="Calibri" w:eastAsia="Calibri" w:hAnsi="Calibri"/>
                <w:sz w:val="18"/>
                <w:szCs w:val="18"/>
              </w:rPr>
              <w:t xml:space="preserve">• Focused on a single industry sector</w:t>
            </w:r>
          </w:p>
          <w:p>
            <w:pPr>
              <w:jc w:val="left"/>
            </w:pPr>
            <w:r>
              <w:rPr>
                <w:rFonts w:ascii="Calibri" w:cs="Calibri" w:eastAsia="Calibri" w:hAnsi="Calibri"/>
                <w:sz w:val="18"/>
                <w:szCs w:val="18"/>
              </w:rPr>
              <w:t xml:space="preserve">• Traditional statistical models; limited deep learning</w:t>
            </w:r>
          </w:p>
          <w:p>
            <w:pPr>
              <w:jc w:val="left"/>
            </w:pPr>
            <w:r>
              <w:rPr>
                <w:rFonts w:ascii="Calibri" w:cs="Calibri" w:eastAsia="Calibri" w:hAnsi="Calibri"/>
                <w:sz w:val="18"/>
                <w:szCs w:val="18"/>
              </w:rPr>
              <w:t xml:space="preserve">• No real-time or dynamic forecasting</w:t>
            </w:r>
          </w:p>
          <w:p>
            <w:pPr>
              <w:jc w:val="left"/>
            </w:pPr>
            <w:r>
              <w:rPr>
                <w:rFonts w:ascii="Calibri" w:cs="Calibri" w:eastAsia="Calibri" w:hAnsi="Calibri"/>
                <w:sz w:val="18"/>
                <w:szCs w:val="18"/>
              </w:rPr>
              <w:t xml:space="preserve">• Dataset scope may limit generalizability</w:t>
            </w:r>
          </w:p>
        </w:tc>
      </w:tr>
      <w:tr>
        <w:tc>
          <w:tcPr>
            <w:tcW w:type="dxa" w:w="1600"/>
            <w:vAlign w:val="top"/>
          </w:tcPr>
          <w:p>
            <w:pPr>
              <w:jc w:val="left"/>
            </w:pPr>
            <w:r>
              <w:rPr>
                <w:rFonts w:ascii="Calibri" w:cs="Calibri" w:eastAsia="Calibri" w:hAnsi="Calibri"/>
                <w:b w:val="false"/>
                <w:bCs w:val="false"/>
                <w:color w:val="000000"/>
                <w:sz w:val="18"/>
                <w:szCs w:val="18"/>
              </w:rPr>
              <w:t xml:space="preserve">Goulart et al.</w:t>
            </w:r>
          </w:p>
        </w:tc>
        <w:tc>
          <w:tcPr>
            <w:tcW w:type="dxa" w:w="900"/>
            <w:vAlign w:val="top"/>
          </w:tcPr>
          <w:p>
            <w:pPr>
              <w:jc w:val="left"/>
            </w:pPr>
            <w:r>
              <w:rPr>
                <w:rFonts w:ascii="Calibri" w:cs="Calibri" w:eastAsia="Calibri" w:hAnsi="Calibri"/>
                <w:b w:val="false"/>
                <w:bCs w:val="false"/>
                <w:color w:val="000000"/>
                <w:sz w:val="18"/>
                <w:szCs w:val="18"/>
              </w:rPr>
              <w:t xml:space="preserve">2026</w:t>
            </w:r>
          </w:p>
        </w:tc>
        <w:tc>
          <w:tcPr>
            <w:tcW w:type="dxa" w:w="2400"/>
            <w:vAlign w:val="top"/>
          </w:tcPr>
          <w:p>
            <w:pPr>
              <w:jc w:val="left"/>
            </w:pPr>
            <w:r>
              <w:rPr>
                <w:rFonts w:ascii="Calibri" w:cs="Calibri" w:eastAsia="Calibri" w:hAnsi="Calibri"/>
                <w:sz w:val="18"/>
                <w:szCs w:val="18"/>
              </w:rPr>
              <w:t xml:space="preserve">• Random Forest</w:t>
            </w:r>
          </w:p>
          <w:p>
            <w:pPr>
              <w:jc w:val="left"/>
            </w:pPr>
            <w:r>
              <w:rPr>
                <w:rFonts w:ascii="Calibri" w:cs="Calibri" w:eastAsia="Calibri" w:hAnsi="Calibri"/>
                <w:sz w:val="18"/>
                <w:szCs w:val="18"/>
              </w:rPr>
              <w:t xml:space="preserve">• XGBoost</w:t>
            </w:r>
          </w:p>
          <w:p>
            <w:pPr>
              <w:jc w:val="left"/>
            </w:pPr>
            <w:r>
              <w:rPr>
                <w:rFonts w:ascii="Calibri" w:cs="Calibri" w:eastAsia="Calibri" w:hAnsi="Calibri"/>
                <w:sz w:val="18"/>
                <w:szCs w:val="18"/>
              </w:rPr>
              <w:t xml:space="preserve">• LSTM (Deep Learning)</w:t>
            </w:r>
          </w:p>
          <w:p>
            <w:pPr>
              <w:jc w:val="left"/>
            </w:pPr>
            <w:r>
              <w:rPr>
                <w:rFonts w:ascii="Calibri" w:cs="Calibri" w:eastAsia="Calibri" w:hAnsi="Calibri"/>
                <w:sz w:val="18"/>
                <w:szCs w:val="18"/>
              </w:rPr>
              <w:t xml:space="preserve">• Python (scikit-learn, Keras)</w:t>
            </w:r>
          </w:p>
          <w:p>
            <w:pPr>
              <w:jc w:val="left"/>
            </w:pPr>
            <w:r>
              <w:rPr>
                <w:rFonts w:ascii="Calibri" w:cs="Calibri" w:eastAsia="Calibri" w:hAnsi="Calibri"/>
                <w:sz w:val="18"/>
                <w:szCs w:val="18"/>
              </w:rPr>
              <w:t xml:space="preserve">• Feature engineering on sales history</w:t>
            </w:r>
          </w:p>
        </w:tc>
        <w:tc>
          <w:tcPr>
            <w:tcW w:type="dxa" w:w="3600"/>
            <w:vAlign w:val="top"/>
          </w:tcPr>
          <w:p>
            <w:pPr>
              <w:jc w:val="left"/>
            </w:pPr>
            <w:r>
              <w:rPr>
                <w:rFonts w:ascii="Calibri" w:cs="Calibri" w:eastAsia="Calibri" w:hAnsi="Calibri"/>
                <w:sz w:val="18"/>
                <w:szCs w:val="18"/>
              </w:rPr>
              <w:t xml:space="preserve">• ML models outperform classical methods for irregular demand</w:t>
            </w:r>
          </w:p>
          <w:p>
            <w:pPr>
              <w:jc w:val="left"/>
            </w:pPr>
            <w:r>
              <w:rPr>
                <w:rFonts w:ascii="Calibri" w:cs="Calibri" w:eastAsia="Calibri" w:hAnsi="Calibri"/>
                <w:sz w:val="18"/>
                <w:szCs w:val="18"/>
              </w:rPr>
              <w:t xml:space="preserve">• Practical deployment at a real distributor</w:t>
            </w:r>
          </w:p>
          <w:p>
            <w:pPr>
              <w:jc w:val="left"/>
            </w:pPr>
            <w:r>
              <w:rPr>
                <w:rFonts w:ascii="Calibri" w:cs="Calibri" w:eastAsia="Calibri" w:hAnsi="Calibri"/>
                <w:sz w:val="18"/>
                <w:szCs w:val="18"/>
              </w:rPr>
              <w:t xml:space="preserve">• Handles large SKU variety in construction supplies</w:t>
            </w:r>
          </w:p>
          <w:p>
            <w:pPr>
              <w:jc w:val="left"/>
            </w:pPr>
            <w:r>
              <w:rPr>
                <w:rFonts w:ascii="Calibri" w:cs="Calibri" w:eastAsia="Calibri" w:hAnsi="Calibri"/>
                <w:sz w:val="18"/>
                <w:szCs w:val="18"/>
              </w:rPr>
              <w:t xml:space="preserve">• Ensemble methods improve accuracy</w:t>
            </w:r>
          </w:p>
        </w:tc>
        <w:tc>
          <w:tcPr>
            <w:tcW w:type="dxa" w:w="3740"/>
            <w:vAlign w:val="top"/>
          </w:tcPr>
          <w:p>
            <w:pPr>
              <w:jc w:val="left"/>
            </w:pPr>
            <w:r>
              <w:rPr>
                <w:rFonts w:ascii="Calibri" w:cs="Calibri" w:eastAsia="Calibri" w:hAnsi="Calibri"/>
                <w:sz w:val="18"/>
                <w:szCs w:val="18"/>
              </w:rPr>
              <w:t xml:space="preserve">• Sector-specific; may not generalize</w:t>
            </w:r>
          </w:p>
          <w:p>
            <w:pPr>
              <w:jc w:val="left"/>
            </w:pPr>
            <w:r>
              <w:rPr>
                <w:rFonts w:ascii="Calibri" w:cs="Calibri" w:eastAsia="Calibri" w:hAnsi="Calibri"/>
                <w:sz w:val="18"/>
                <w:szCs w:val="18"/>
              </w:rPr>
              <w:t xml:space="preserve">• Requires substantial historical sales data</w:t>
            </w:r>
          </w:p>
          <w:p>
            <w:pPr>
              <w:jc w:val="left"/>
            </w:pPr>
            <w:r>
              <w:rPr>
                <w:rFonts w:ascii="Calibri" w:cs="Calibri" w:eastAsia="Calibri" w:hAnsi="Calibri"/>
                <w:sz w:val="18"/>
                <w:szCs w:val="18"/>
              </w:rPr>
              <w:t xml:space="preserve">• Computationally intensive (LSTM training)</w:t>
            </w:r>
          </w:p>
          <w:p>
            <w:pPr>
              <w:jc w:val="left"/>
            </w:pPr>
            <w:r>
              <w:rPr>
                <w:rFonts w:ascii="Calibri" w:cs="Calibri" w:eastAsia="Calibri" w:hAnsi="Calibri"/>
                <w:sz w:val="18"/>
                <w:szCs w:val="18"/>
              </w:rPr>
              <w:t xml:space="preserve">• Limited interpretability of black-box models</w:t>
            </w:r>
          </w:p>
        </w:tc>
      </w:tr>
      <w:tr>
        <w:tc>
          <w:tcPr>
            <w:tcW w:type="dxa" w:w="1600"/>
            <w:shd w:fill="D9E1F2" w:val="clear"/>
            <w:vAlign w:val="top"/>
          </w:tcPr>
          <w:p>
            <w:pPr>
              <w:jc w:val="left"/>
            </w:pPr>
            <w:r>
              <w:rPr>
                <w:rFonts w:ascii="Calibri" w:cs="Calibri" w:eastAsia="Calibri" w:hAnsi="Calibri"/>
                <w:b w:val="false"/>
                <w:bCs w:val="false"/>
                <w:color w:val="000000"/>
                <w:sz w:val="18"/>
                <w:szCs w:val="18"/>
              </w:rPr>
              <w:t xml:space="preserve">Basavaraju &amp; Valilai</w:t>
            </w:r>
          </w:p>
        </w:tc>
        <w:tc>
          <w:tcPr>
            <w:tcW w:type="dxa" w:w="900"/>
            <w:shd w:fill="D9E1F2" w:val="clear"/>
            <w:vAlign w:val="top"/>
          </w:tcPr>
          <w:p>
            <w:pPr>
              <w:jc w:val="left"/>
            </w:pPr>
            <w:r>
              <w:rPr>
                <w:rFonts w:ascii="Calibri" w:cs="Calibri" w:eastAsia="Calibri" w:hAnsi="Calibri"/>
                <w:b w:val="false"/>
                <w:bCs w:val="false"/>
                <w:color w:val="000000"/>
                <w:sz w:val="18"/>
                <w:szCs w:val="18"/>
              </w:rPr>
              <w:t xml:space="preserve">2025</w:t>
            </w:r>
          </w:p>
        </w:tc>
        <w:tc>
          <w:tcPr>
            <w:tcW w:type="dxa" w:w="2400"/>
            <w:shd w:fill="D9E1F2" w:val="clear"/>
            <w:vAlign w:val="top"/>
          </w:tcPr>
          <w:p>
            <w:pPr>
              <w:jc w:val="left"/>
            </w:pPr>
            <w:r>
              <w:rPr>
                <w:rFonts w:ascii="Calibri" w:cs="Calibri" w:eastAsia="Calibri" w:hAnsi="Calibri"/>
                <w:sz w:val="18"/>
                <w:szCs w:val="18"/>
              </w:rPr>
              <w:t xml:space="preserve">• Joint forecasting strategy</w:t>
            </w:r>
          </w:p>
          <w:p>
            <w:pPr>
              <w:jc w:val="left"/>
            </w:pPr>
            <w:r>
              <w:rPr>
                <w:rFonts w:ascii="Calibri" w:cs="Calibri" w:eastAsia="Calibri" w:hAnsi="Calibri"/>
                <w:sz w:val="18"/>
                <w:szCs w:val="18"/>
              </w:rPr>
              <w:t xml:space="preserve">• Analytical/BI tools</w:t>
            </w:r>
          </w:p>
          <w:p>
            <w:pPr>
              <w:jc w:val="left"/>
            </w:pPr>
            <w:r>
              <w:rPr>
                <w:rFonts w:ascii="Calibri" w:cs="Calibri" w:eastAsia="Calibri" w:hAnsi="Calibri"/>
                <w:sz w:val="18"/>
                <w:szCs w:val="18"/>
              </w:rPr>
              <w:t xml:space="preserve">• Statistical demand planning</w:t>
            </w:r>
          </w:p>
          <w:p>
            <w:pPr>
              <w:jc w:val="left"/>
            </w:pPr>
            <w:r>
              <w:rPr>
                <w:rFonts w:ascii="Calibri" w:cs="Calibri" w:eastAsia="Calibri" w:hAnsi="Calibri"/>
                <w:sz w:val="18"/>
                <w:szCs w:val="18"/>
              </w:rPr>
              <w:t xml:space="preserve">• ERP-integrated analytics</w:t>
            </w:r>
          </w:p>
          <w:p>
            <w:pPr>
              <w:jc w:val="left"/>
            </w:pPr>
            <w:r>
              <w:rPr>
                <w:rFonts w:ascii="Calibri" w:cs="Calibri" w:eastAsia="Calibri" w:hAnsi="Calibri"/>
                <w:sz w:val="18"/>
                <w:szCs w:val="18"/>
              </w:rPr>
              <w:t xml:space="preserve">• Empirical case study methodology</w:t>
            </w:r>
          </w:p>
        </w:tc>
        <w:tc>
          <w:tcPr>
            <w:tcW w:type="dxa" w:w="3600"/>
            <w:shd w:fill="D9E1F2" w:val="clear"/>
            <w:vAlign w:val="top"/>
          </w:tcPr>
          <w:p>
            <w:pPr>
              <w:jc w:val="left"/>
            </w:pPr>
            <w:r>
              <w:rPr>
                <w:rFonts w:ascii="Calibri" w:cs="Calibri" w:eastAsia="Calibri" w:hAnsi="Calibri"/>
                <w:sz w:val="18"/>
                <w:szCs w:val="18"/>
              </w:rPr>
              <w:t xml:space="preserve">• Integrates forecasting with collaborative demand planning</w:t>
            </w:r>
          </w:p>
          <w:p>
            <w:pPr>
              <w:jc w:val="left"/>
            </w:pPr>
            <w:r>
              <w:rPr>
                <w:rFonts w:ascii="Calibri" w:cs="Calibri" w:eastAsia="Calibri" w:hAnsi="Calibri"/>
                <w:sz w:val="18"/>
                <w:szCs w:val="18"/>
              </w:rPr>
              <w:t xml:space="preserve">• Bridges gap between theory and practice via case study</w:t>
            </w:r>
          </w:p>
          <w:p>
            <w:pPr>
              <w:jc w:val="left"/>
            </w:pPr>
            <w:r>
              <w:rPr>
                <w:rFonts w:ascii="Calibri" w:cs="Calibri" w:eastAsia="Calibri" w:hAnsi="Calibri"/>
                <w:sz w:val="18"/>
                <w:szCs w:val="18"/>
              </w:rPr>
              <w:t xml:space="preserve">• Reduces forecast error through cross-functional alignment</w:t>
            </w:r>
          </w:p>
          <w:p>
            <w:pPr>
              <w:jc w:val="left"/>
            </w:pPr>
            <w:r>
              <w:rPr>
                <w:rFonts w:ascii="Calibri" w:cs="Calibri" w:eastAsia="Calibri" w:hAnsi="Calibri"/>
                <w:sz w:val="18"/>
                <w:szCs w:val="18"/>
              </w:rPr>
              <w:t xml:space="preserve">• Applicable to multi-echelon supply chains</w:t>
            </w:r>
          </w:p>
        </w:tc>
        <w:tc>
          <w:tcPr>
            <w:tcW w:type="dxa" w:w="3740"/>
            <w:shd w:fill="D9E1F2" w:val="clear"/>
            <w:vAlign w:val="top"/>
          </w:tcPr>
          <w:p>
            <w:pPr>
              <w:jc w:val="left"/>
            </w:pPr>
            <w:r>
              <w:rPr>
                <w:rFonts w:ascii="Calibri" w:cs="Calibri" w:eastAsia="Calibri" w:hAnsi="Calibri"/>
                <w:sz w:val="18"/>
                <w:szCs w:val="18"/>
              </w:rPr>
              <w:t xml:space="preserve">• Single case study limits generalizability</w:t>
            </w:r>
          </w:p>
          <w:p>
            <w:pPr>
              <w:jc w:val="left"/>
            </w:pPr>
            <w:r>
              <w:rPr>
                <w:rFonts w:ascii="Calibri" w:cs="Calibri" w:eastAsia="Calibri" w:hAnsi="Calibri"/>
                <w:sz w:val="18"/>
                <w:szCs w:val="18"/>
              </w:rPr>
              <w:t xml:space="preserve">• Heavy reliance on organizational collaboration</w:t>
            </w:r>
          </w:p>
          <w:p>
            <w:pPr>
              <w:jc w:val="left"/>
            </w:pPr>
            <w:r>
              <w:rPr>
                <w:rFonts w:ascii="Calibri" w:cs="Calibri" w:eastAsia="Calibri" w:hAnsi="Calibri"/>
                <w:sz w:val="18"/>
                <w:szCs w:val="18"/>
              </w:rPr>
              <w:t xml:space="preserve">• Less focus on automated/ML-driven methods</w:t>
            </w:r>
          </w:p>
          <w:p>
            <w:pPr>
              <w:jc w:val="left"/>
            </w:pPr>
            <w:r>
              <w:rPr>
                <w:rFonts w:ascii="Calibri" w:cs="Calibri" w:eastAsia="Calibri" w:hAnsi="Calibri"/>
                <w:sz w:val="18"/>
                <w:szCs w:val="18"/>
              </w:rPr>
              <w:t xml:space="preserve">• Tool dependency on existing ERP infrastructure</w:t>
            </w:r>
          </w:p>
        </w:tc>
      </w:tr>
      <w:tr>
        <w:tc>
          <w:tcPr>
            <w:tcW w:type="dxa" w:w="1600"/>
            <w:vAlign w:val="top"/>
          </w:tcPr>
          <w:p>
            <w:pPr>
              <w:jc w:val="left"/>
            </w:pPr>
            <w:r>
              <w:rPr>
                <w:rFonts w:ascii="Calibri" w:cs="Calibri" w:eastAsia="Calibri" w:hAnsi="Calibri"/>
                <w:b w:val="false"/>
                <w:bCs w:val="false"/>
                <w:color w:val="000000"/>
                <w:sz w:val="18"/>
                <w:szCs w:val="18"/>
              </w:rPr>
              <w:t xml:space="preserve">Douaioui et al.</w:t>
            </w:r>
          </w:p>
        </w:tc>
        <w:tc>
          <w:tcPr>
            <w:tcW w:type="dxa" w:w="900"/>
            <w:vAlign w:val="top"/>
          </w:tcPr>
          <w:p>
            <w:pPr>
              <w:jc w:val="left"/>
            </w:pPr>
            <w:r>
              <w:rPr>
                <w:rFonts w:ascii="Calibri" w:cs="Calibri" w:eastAsia="Calibri" w:hAnsi="Calibri"/>
                <w:b w:val="false"/>
                <w:bCs w:val="false"/>
                <w:color w:val="000000"/>
                <w:sz w:val="18"/>
                <w:szCs w:val="18"/>
              </w:rPr>
              <w:t xml:space="preserve">2024</w:t>
            </w:r>
          </w:p>
        </w:tc>
        <w:tc>
          <w:tcPr>
            <w:tcW w:type="dxa" w:w="2400"/>
            <w:vAlign w:val="top"/>
          </w:tcPr>
          <w:p>
            <w:pPr>
              <w:jc w:val="left"/>
            </w:pPr>
            <w:r>
              <w:rPr>
                <w:rFonts w:ascii="Calibri" w:cs="Calibri" w:eastAsia="Calibri" w:hAnsi="Calibri"/>
                <w:sz w:val="18"/>
                <w:szCs w:val="18"/>
              </w:rPr>
              <w:t xml:space="preserve">• Systematic literature review methodology</w:t>
            </w:r>
          </w:p>
          <w:p>
            <w:pPr>
              <w:jc w:val="left"/>
            </w:pPr>
            <w:r>
              <w:rPr>
                <w:rFonts w:ascii="Calibri" w:cs="Calibri" w:eastAsia="Calibri" w:hAnsi="Calibri"/>
                <w:sz w:val="18"/>
                <w:szCs w:val="18"/>
              </w:rPr>
              <w:t xml:space="preserve">• ML: SVM, RF, Gradient Boosting</w:t>
            </w:r>
          </w:p>
          <w:p>
            <w:pPr>
              <w:jc w:val="left"/>
            </w:pPr>
            <w:r>
              <w:rPr>
                <w:rFonts w:ascii="Calibri" w:cs="Calibri" w:eastAsia="Calibri" w:hAnsi="Calibri"/>
                <w:sz w:val="18"/>
                <w:szCs w:val="18"/>
              </w:rPr>
              <w:t xml:space="preserve">• DL: LSTM, GRU, Transformer</w:t>
            </w:r>
          </w:p>
          <w:p>
            <w:pPr>
              <w:jc w:val="left"/>
            </w:pPr>
            <w:r>
              <w:rPr>
                <w:rFonts w:ascii="Calibri" w:cs="Calibri" w:eastAsia="Calibri" w:hAnsi="Calibri"/>
                <w:sz w:val="18"/>
                <w:szCs w:val="18"/>
              </w:rPr>
              <w:t xml:space="preserve">• Hybrid ML+statistical models</w:t>
            </w:r>
          </w:p>
          <w:p>
            <w:pPr>
              <w:jc w:val="left"/>
            </w:pPr>
            <w:r>
              <w:rPr>
                <w:rFonts w:ascii="Calibri" w:cs="Calibri" w:eastAsia="Calibri" w:hAnsi="Calibri"/>
                <w:sz w:val="18"/>
                <w:szCs w:val="18"/>
              </w:rPr>
              <w:t xml:space="preserve">• Meta-analysis of 80+ studies</w:t>
            </w:r>
          </w:p>
        </w:tc>
        <w:tc>
          <w:tcPr>
            <w:tcW w:type="dxa" w:w="3600"/>
            <w:vAlign w:val="top"/>
          </w:tcPr>
          <w:p>
            <w:pPr>
              <w:jc w:val="left"/>
            </w:pPr>
            <w:r>
              <w:rPr>
                <w:rFonts w:ascii="Calibri" w:cs="Calibri" w:eastAsia="Calibri" w:hAnsi="Calibri"/>
                <w:sz w:val="18"/>
                <w:szCs w:val="18"/>
              </w:rPr>
              <w:t xml:space="preserve">• Comprehensive overview of SOTA ML/DL for SCM</w:t>
            </w:r>
          </w:p>
          <w:p>
            <w:pPr>
              <w:jc w:val="left"/>
            </w:pPr>
            <w:r>
              <w:rPr>
                <w:rFonts w:ascii="Calibri" w:cs="Calibri" w:eastAsia="Calibri" w:hAnsi="Calibri"/>
                <w:sz w:val="18"/>
                <w:szCs w:val="18"/>
              </w:rPr>
              <w:t xml:space="preserve">• Identifies best-performing model families per scenario</w:t>
            </w:r>
          </w:p>
          <w:p>
            <w:pPr>
              <w:jc w:val="left"/>
            </w:pPr>
            <w:r>
              <w:rPr>
                <w:rFonts w:ascii="Calibri" w:cs="Calibri" w:eastAsia="Calibri" w:hAnsi="Calibri"/>
                <w:sz w:val="18"/>
                <w:szCs w:val="18"/>
              </w:rPr>
              <w:t xml:space="preserve">• Highlights research gaps for future work</w:t>
            </w:r>
          </w:p>
          <w:p>
            <w:pPr>
              <w:jc w:val="left"/>
            </w:pPr>
            <w:r>
              <w:rPr>
                <w:rFonts w:ascii="Calibri" w:cs="Calibri" w:eastAsia="Calibri" w:hAnsi="Calibri"/>
                <w:sz w:val="18"/>
                <w:szCs w:val="18"/>
              </w:rPr>
              <w:t xml:space="preserve">• Useful benchmark reference for practitioners</w:t>
            </w:r>
          </w:p>
        </w:tc>
        <w:tc>
          <w:tcPr>
            <w:tcW w:type="dxa" w:w="3740"/>
            <w:vAlign w:val="top"/>
          </w:tcPr>
          <w:p>
            <w:pPr>
              <w:jc w:val="left"/>
            </w:pPr>
            <w:r>
              <w:rPr>
                <w:rFonts w:ascii="Calibri" w:cs="Calibri" w:eastAsia="Calibri" w:hAnsi="Calibri"/>
                <w:sz w:val="18"/>
                <w:szCs w:val="18"/>
              </w:rPr>
              <w:t xml:space="preserve">• Review paper; no original empirical contribution</w:t>
            </w:r>
          </w:p>
          <w:p>
            <w:pPr>
              <w:jc w:val="left"/>
            </w:pPr>
            <w:r>
              <w:rPr>
                <w:rFonts w:ascii="Calibri" w:cs="Calibri" w:eastAsia="Calibri" w:hAnsi="Calibri"/>
                <w:sz w:val="18"/>
                <w:szCs w:val="18"/>
              </w:rPr>
              <w:t xml:space="preserve">• Rapid model evolution may date findings quickly</w:t>
            </w:r>
          </w:p>
          <w:p>
            <w:pPr>
              <w:jc w:val="left"/>
            </w:pPr>
            <w:r>
              <w:rPr>
                <w:rFonts w:ascii="Calibri" w:cs="Calibri" w:eastAsia="Calibri" w:hAnsi="Calibri"/>
                <w:sz w:val="18"/>
                <w:szCs w:val="18"/>
              </w:rPr>
              <w:t xml:space="preserve">• Heterogeneous datasets make direct comparison difficult</w:t>
            </w:r>
          </w:p>
          <w:p>
            <w:pPr>
              <w:jc w:val="left"/>
            </w:pPr>
            <w:r>
              <w:rPr>
                <w:rFonts w:ascii="Calibri" w:cs="Calibri" w:eastAsia="Calibri" w:hAnsi="Calibri"/>
                <w:sz w:val="18"/>
                <w:szCs w:val="18"/>
              </w:rPr>
              <w:t xml:space="preserve">• Limited coverage of domain-specific (e.g., energy) contexts</w:t>
            </w:r>
          </w:p>
        </w:tc>
      </w:tr>
    </w:tbl>
    <w:p>
      <w:pPr>
        <w:spacing w:after="120" w:before="300"/>
      </w:pPr>
      <w:r>
        <w:rPr>
          <w:rFonts w:ascii="Calibri" w:cs="Calibri" w:eastAsia="Calibri" w:hAnsi="Calibri"/>
          <w:b/>
          <w:bCs/>
          <w:color w:val="2E5096"/>
          <w:sz w:val="24"/>
          <w:szCs w:val="24"/>
        </w:rPr>
        <w:t xml:space="preserve">Conclusion</w:t>
      </w:r>
    </w:p>
    <w:p>
      <w:pPr>
        <w:spacing w:after="200"/>
      </w:pPr>
      <w:r>
        <w:rPr>
          <w:rFonts w:ascii="Calibri" w:cs="Calibri" w:eastAsia="Calibri" w:hAnsi="Calibri"/>
          <w:sz w:val="20"/>
          <w:szCs w:val="20"/>
        </w:rPr>
        <w:t xml:space="preserve">The reviewed studies collectively highlight a clear progression from classical statistical forecasting toward hybrid and deep learning approaches in demand management. The base paper's strength lies in its systematic demand-classification framework tailored for intermittent spare-parts data, which complements the broader ML/DL insights from Douaioui et al. and the practical deployment experience of Goulart et al. and Basavaraju &amp; Valilai.</w:t>
      </w:r>
    </w:p>
    <w:sectPr>
      <w:pgSz w:w="15840" w:h="122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2026-08-13T14:33:52.058Z</dcterms:created>
  <dcterms:modified xsi:type="dcterms:W3CDTF">2026-08-13T14:33:52.080Z</dcterms:modified>
</cp:coreProperties>
</file>

<file path=docProps/custom.xml><?xml version="1.0" encoding="utf-8"?>
<Properties xmlns="http://schemas.openxmlformats.org/officeDocument/2006/custom-properties" xmlns:vt="http://schemas.openxmlformats.org/officeDocument/2006/docPropsVTypes"/>
</file>