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2914" w14:textId="77777777" w:rsidR="004D5FF3" w:rsidRDefault="00000000">
      <w:pPr>
        <w:spacing w:after="20"/>
      </w:pPr>
      <w:r>
        <w:rPr>
          <w:rFonts w:ascii="Aptos" w:eastAsia="Aptos" w:hAnsi="Aptos"/>
          <w:b/>
          <w:color w:val="1F1F1F"/>
          <w:sz w:val="31"/>
        </w:rPr>
        <w:t>One-Page Brief | Agentic AI / GenAI Revenue Impact Assessment</w:t>
      </w:r>
    </w:p>
    <w:p w14:paraId="587ACEAA" w14:textId="77777777" w:rsidR="004D5FF3" w:rsidRDefault="00000000">
      <w:pPr>
        <w:spacing w:after="100"/>
      </w:pPr>
      <w:r>
        <w:rPr>
          <w:rFonts w:ascii="Aptos" w:eastAsia="Aptos" w:hAnsi="Aptos"/>
          <w:color w:val="5B6570"/>
          <w:sz w:val="17"/>
        </w:rPr>
        <w:t>Base scenario across six US-listed software companies | Prepared: 12 Apr 2026 | USD billions unless stated otherwise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6"/>
        <w:gridCol w:w="3686"/>
        <w:gridCol w:w="3686"/>
        <w:gridCol w:w="3686"/>
      </w:tblGrid>
      <w:tr w:rsidR="004D5FF3" w14:paraId="58CB3DFA" w14:textId="77777777">
        <w:trPr>
          <w:jc w:val="center"/>
        </w:trPr>
        <w:tc>
          <w:tcPr>
            <w:tcW w:w="3686" w:type="dxa"/>
            <w:shd w:val="clear" w:color="auto" w:fill="EAF3FF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5726E5" w14:textId="77777777" w:rsidR="004D5FF3" w:rsidRDefault="00000000">
            <w:r>
              <w:rPr>
                <w:rFonts w:ascii="Aptos" w:eastAsia="Aptos" w:hAnsi="Aptos"/>
                <w:b/>
                <w:color w:val="344054"/>
                <w:sz w:val="16"/>
              </w:rPr>
              <w:t>Portfolio revenue</w:t>
            </w:r>
            <w:r>
              <w:rPr>
                <w:rFonts w:ascii="Aptos" w:eastAsia="Aptos" w:hAnsi="Aptos"/>
                <w:b/>
                <w:color w:val="344054"/>
                <w:sz w:val="16"/>
              </w:rPr>
              <w:br/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t>$377.7B → $467.3B</w:t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br/>
            </w:r>
            <w:r>
              <w:rPr>
                <w:rFonts w:ascii="Aptos" w:eastAsia="Aptos" w:hAnsi="Aptos"/>
                <w:color w:val="475467"/>
                <w:sz w:val="16"/>
              </w:rPr>
              <w:t>+23.7% from 2025 to 2027</w:t>
            </w:r>
          </w:p>
        </w:tc>
        <w:tc>
          <w:tcPr>
            <w:tcW w:w="3686" w:type="dxa"/>
            <w:shd w:val="clear" w:color="auto" w:fill="EAF8EE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C28E8" w14:textId="77777777" w:rsidR="004D5FF3" w:rsidRDefault="00000000">
            <w:r>
              <w:rPr>
                <w:rFonts w:ascii="Aptos" w:eastAsia="Aptos" w:hAnsi="Aptos"/>
                <w:b/>
                <w:color w:val="344054"/>
                <w:sz w:val="16"/>
              </w:rPr>
              <w:t>Modeled net AI effect</w:t>
            </w:r>
            <w:r>
              <w:rPr>
                <w:rFonts w:ascii="Aptos" w:eastAsia="Aptos" w:hAnsi="Aptos"/>
                <w:b/>
                <w:color w:val="344054"/>
                <w:sz w:val="16"/>
              </w:rPr>
              <w:br/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t>$2.24B</w:t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br/>
            </w:r>
            <w:r>
              <w:rPr>
                <w:rFonts w:ascii="Aptos" w:eastAsia="Aptos" w:hAnsi="Aptos"/>
                <w:color w:val="475467"/>
                <w:sz w:val="16"/>
              </w:rPr>
              <w:t>2027 AI uplift net of cannibalization</w:t>
            </w:r>
          </w:p>
        </w:tc>
        <w:tc>
          <w:tcPr>
            <w:tcW w:w="3686" w:type="dxa"/>
            <w:shd w:val="clear" w:color="auto" w:fill="FFF2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A4717" w14:textId="77777777" w:rsidR="004D5FF3" w:rsidRDefault="00000000">
            <w:r>
              <w:rPr>
                <w:rFonts w:ascii="Aptos" w:eastAsia="Aptos" w:hAnsi="Aptos"/>
                <w:b/>
                <w:color w:val="344054"/>
                <w:sz w:val="16"/>
              </w:rPr>
              <w:t>Leaders</w:t>
            </w:r>
            <w:r>
              <w:rPr>
                <w:rFonts w:ascii="Aptos" w:eastAsia="Aptos" w:hAnsi="Aptos"/>
                <w:b/>
                <w:color w:val="344054"/>
                <w:sz w:val="16"/>
              </w:rPr>
              <w:br/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t>Microsoft / Palantir</w:t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br/>
            </w:r>
            <w:r>
              <w:rPr>
                <w:rFonts w:ascii="Aptos" w:eastAsia="Aptos" w:hAnsi="Aptos"/>
                <w:color w:val="475467"/>
                <w:sz w:val="16"/>
              </w:rPr>
              <w:t>Absolute uplift / revenue-mix shift</w:t>
            </w:r>
          </w:p>
        </w:tc>
        <w:tc>
          <w:tcPr>
            <w:tcW w:w="3686" w:type="dxa"/>
            <w:shd w:val="clear" w:color="auto" w:fill="F2F4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C60C1B" w14:textId="77777777" w:rsidR="004D5FF3" w:rsidRDefault="00000000">
            <w:r>
              <w:rPr>
                <w:rFonts w:ascii="Aptos" w:eastAsia="Aptos" w:hAnsi="Aptos"/>
                <w:b/>
                <w:color w:val="344054"/>
                <w:sz w:val="16"/>
              </w:rPr>
              <w:t>Core model logic</w:t>
            </w:r>
            <w:r>
              <w:rPr>
                <w:rFonts w:ascii="Aptos" w:eastAsia="Aptos" w:hAnsi="Aptos"/>
                <w:b/>
                <w:color w:val="344054"/>
                <w:sz w:val="16"/>
              </w:rPr>
              <w:br/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t>Net Revenue =</w:t>
            </w:r>
            <w:r>
              <w:rPr>
                <w:rFonts w:ascii="Aptos" w:eastAsia="Aptos" w:hAnsi="Aptos"/>
                <w:b/>
                <w:color w:val="111827"/>
                <w:sz w:val="21"/>
              </w:rPr>
              <w:br/>
            </w:r>
            <w:r>
              <w:rPr>
                <w:rFonts w:ascii="Aptos" w:eastAsia="Aptos" w:hAnsi="Aptos"/>
                <w:color w:val="475467"/>
                <w:sz w:val="16"/>
              </w:rPr>
              <w:t>Baseline Revenue + AI Uplift − Cannibalization</w:t>
            </w:r>
          </w:p>
        </w:tc>
      </w:tr>
    </w:tbl>
    <w:p w14:paraId="08157551" w14:textId="77777777" w:rsidR="004D5FF3" w:rsidRDefault="004D5FF3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3"/>
        <w:gridCol w:w="7373"/>
      </w:tblGrid>
      <w:tr w:rsidR="004D5FF3" w14:paraId="3D6856BA" w14:textId="77777777">
        <w:trPr>
          <w:jc w:val="center"/>
        </w:trPr>
        <w:tc>
          <w:tcPr>
            <w:tcW w:w="7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26191" w14:textId="77777777" w:rsidR="004D5FF3" w:rsidRDefault="00000000">
            <w:pPr>
              <w:spacing w:after="20"/>
            </w:pPr>
            <w:r>
              <w:rPr>
                <w:rFonts w:ascii="Aptos" w:eastAsia="Aptos" w:hAnsi="Aptos"/>
                <w:b/>
                <w:color w:val="1F2937"/>
                <w:sz w:val="21"/>
              </w:rPr>
              <w:t>Objective and approach</w:t>
            </w:r>
          </w:p>
          <w:p w14:paraId="1FA5D9E9" w14:textId="77777777" w:rsidR="004D5FF3" w:rsidRDefault="00000000">
            <w:pPr>
              <w:spacing w:after="60"/>
            </w:pPr>
            <w:r>
              <w:rPr>
                <w:rFonts w:ascii="Aptos" w:eastAsia="Aptos" w:hAnsi="Aptos"/>
                <w:color w:val="374151"/>
                <w:sz w:val="16"/>
              </w:rPr>
              <w:t>This model estimates how GenAI and agentic AI could affect revenue growth and revenue mix during 2026–2027 using public-company disclosures, a baseline growth view, company-specific AI exposure, adoption assumptions, monetization yield, and a modest cannibalization offset. The output is a directional business assessment, not management guidance or investment advice.</w:t>
            </w:r>
          </w:p>
          <w:p w14:paraId="38A57824" w14:textId="77777777" w:rsidR="004D5FF3" w:rsidRDefault="00000000">
            <w:pPr>
              <w:spacing w:after="20"/>
            </w:pPr>
            <w:r>
              <w:rPr>
                <w:rFonts w:ascii="Aptos" w:eastAsia="Aptos" w:hAnsi="Aptos"/>
                <w:b/>
                <w:color w:val="1F2937"/>
                <w:sz w:val="21"/>
              </w:rPr>
              <w:t>What the solution shows</w:t>
            </w:r>
          </w:p>
          <w:p w14:paraId="3EFED545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Baseline revenue view for 2025 to 2027</w:t>
            </w:r>
          </w:p>
          <w:p w14:paraId="514889E3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AI-driven impact through uplift, cannibalization, and revenue-mix shift</w:t>
            </w:r>
          </w:p>
          <w:p w14:paraId="66DEB0CA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Low / Base / High scenario framework in the workbook; this brief summarizes the Base case</w:t>
            </w:r>
          </w:p>
          <w:p w14:paraId="083121BC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Transparent assumptions, methodology, sources, and AI workflow log</w:t>
            </w:r>
          </w:p>
          <w:p w14:paraId="5FE7CF6F" w14:textId="77777777" w:rsidR="004D5FF3" w:rsidRDefault="00000000">
            <w:pPr>
              <w:spacing w:before="60" w:after="20"/>
            </w:pPr>
            <w:r>
              <w:rPr>
                <w:rFonts w:ascii="Aptos" w:eastAsia="Aptos" w:hAnsi="Aptos"/>
                <w:b/>
                <w:color w:val="1F2937"/>
                <w:sz w:val="21"/>
              </w:rPr>
              <w:t>Base-case findings</w:t>
            </w:r>
          </w:p>
          <w:p w14:paraId="5B0DC09F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Microsoft contributes the largest absolute AI uplift due to scale across Azure AI, Copilot, and enterprise cloud monetization.</w:t>
            </w:r>
          </w:p>
          <w:p w14:paraId="39A371CC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Palantir shows the strongest modeled revenue-mix shift because AI exposure is high relative to a smaller starting revenue base.</w:t>
            </w:r>
          </w:p>
          <w:p w14:paraId="4E517760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Salesforce and ServiceNow show the clearest workflow and agentic-AI upsell story within enterprise software.</w:t>
            </w:r>
          </w:p>
          <w:p w14:paraId="265D76AB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Adobe and Intuit show steadier mix expansion, with monetization tied more to premium plans, credits, and embedded workflow AI.</w:t>
            </w:r>
          </w:p>
        </w:tc>
        <w:tc>
          <w:tcPr>
            <w:tcW w:w="73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E3AF6" w14:textId="77777777" w:rsidR="004D5FF3" w:rsidRDefault="00000000">
            <w:pPr>
              <w:spacing w:after="40"/>
            </w:pPr>
            <w:r>
              <w:rPr>
                <w:rFonts w:ascii="Aptos" w:eastAsia="Aptos" w:hAnsi="Aptos"/>
                <w:b/>
                <w:color w:val="1F2937"/>
                <w:sz w:val="21"/>
              </w:rPr>
              <w:t>Company snapshot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1843"/>
              <w:gridCol w:w="1843"/>
              <w:gridCol w:w="1843"/>
            </w:tblGrid>
            <w:tr w:rsidR="004D5FF3" w14:paraId="2728E6F5" w14:textId="77777777">
              <w:trPr>
                <w:jc w:val="center"/>
              </w:trPr>
              <w:tc>
                <w:tcPr>
                  <w:tcW w:w="1843" w:type="dxa"/>
                  <w:shd w:val="clear" w:color="auto" w:fill="E5E7EB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5348DC16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b/>
                      <w:color w:val="111827"/>
                      <w:sz w:val="15"/>
                    </w:rPr>
                    <w:t>Company</w:t>
                  </w:r>
                </w:p>
              </w:tc>
              <w:tc>
                <w:tcPr>
                  <w:tcW w:w="1843" w:type="dxa"/>
                  <w:shd w:val="clear" w:color="auto" w:fill="E5E7EB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2D302756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b/>
                      <w:color w:val="111827"/>
                      <w:sz w:val="15"/>
                    </w:rPr>
                    <w:t>2025 Rev.</w:t>
                  </w:r>
                </w:p>
              </w:tc>
              <w:tc>
                <w:tcPr>
                  <w:tcW w:w="1843" w:type="dxa"/>
                  <w:shd w:val="clear" w:color="auto" w:fill="E5E7EB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2B61E4F0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b/>
                      <w:color w:val="111827"/>
                      <w:sz w:val="15"/>
                    </w:rPr>
                    <w:t>2027 Net Rev.</w:t>
                  </w:r>
                </w:p>
              </w:tc>
              <w:tc>
                <w:tcPr>
                  <w:tcW w:w="1843" w:type="dxa"/>
                  <w:shd w:val="clear" w:color="auto" w:fill="E5E7EB"/>
                  <w:tcMar>
                    <w:top w:w="45" w:type="dxa"/>
                    <w:left w:w="55" w:type="dxa"/>
                    <w:bottom w:w="45" w:type="dxa"/>
                    <w:right w:w="55" w:type="dxa"/>
                  </w:tcMar>
                </w:tcPr>
                <w:p w14:paraId="659884BB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b/>
                      <w:color w:val="111827"/>
                      <w:sz w:val="15"/>
                    </w:rPr>
                    <w:t>AI shift (pts)</w:t>
                  </w:r>
                </w:p>
              </w:tc>
            </w:tr>
            <w:tr w:rsidR="004D5FF3" w14:paraId="3684535C" w14:textId="77777777">
              <w:trPr>
                <w:jc w:val="center"/>
              </w:trPr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6731037E" w14:textId="77777777" w:rsidR="004D5FF3" w:rsidRDefault="00000000"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Microsoft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E5FE558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281.7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1FEE4261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345.7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12753BD0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0.9</w:t>
                  </w:r>
                </w:p>
              </w:tc>
            </w:tr>
            <w:tr w:rsidR="004D5FF3" w14:paraId="28501AC5" w14:textId="77777777">
              <w:trPr>
                <w:jc w:val="center"/>
              </w:trPr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0D7EBE20" w14:textId="77777777" w:rsidR="004D5FF3" w:rsidRDefault="00000000"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Salesforce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25092F6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37.9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822D030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45.2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6A99C60F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2.1</w:t>
                  </w:r>
                </w:p>
              </w:tc>
            </w:tr>
            <w:tr w:rsidR="004D5FF3" w14:paraId="3AF50043" w14:textId="77777777">
              <w:trPr>
                <w:jc w:val="center"/>
              </w:trPr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241FD1EF" w14:textId="77777777" w:rsidR="004D5FF3" w:rsidRDefault="00000000"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Adobe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3C5738C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23.8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8EEA4C3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28.7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633C40C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1.6</w:t>
                  </w:r>
                </w:p>
              </w:tc>
            </w:tr>
            <w:tr w:rsidR="004D5FF3" w14:paraId="357F0610" w14:textId="77777777">
              <w:trPr>
                <w:jc w:val="center"/>
              </w:trPr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6417E693" w14:textId="77777777" w:rsidR="004D5FF3" w:rsidRDefault="00000000"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ServiceNow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03F58640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11.0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D2BE77D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16.1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185CA6FD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2.1</w:t>
                  </w:r>
                </w:p>
              </w:tc>
            </w:tr>
            <w:tr w:rsidR="004D5FF3" w14:paraId="67379E59" w14:textId="77777777">
              <w:trPr>
                <w:jc w:val="center"/>
              </w:trPr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65185898" w14:textId="77777777" w:rsidR="004D5FF3" w:rsidRDefault="00000000"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Intuit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20BB5AD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18.8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4645B4B8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23.6</w:t>
                  </w:r>
                </w:p>
              </w:tc>
              <w:tc>
                <w:tcPr>
                  <w:tcW w:w="1843" w:type="dxa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7B32CEE2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1.1</w:t>
                  </w:r>
                </w:p>
              </w:tc>
            </w:tr>
            <w:tr w:rsidR="004D5FF3" w14:paraId="5F92445D" w14:textId="77777777">
              <w:trPr>
                <w:jc w:val="center"/>
              </w:trPr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BC2AC0C" w14:textId="77777777" w:rsidR="004D5FF3" w:rsidRDefault="00000000"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Palantir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564F41E4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4.5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399FB97F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8.0</w:t>
                  </w:r>
                </w:p>
              </w:tc>
              <w:tc>
                <w:tcPr>
                  <w:tcW w:w="1843" w:type="dxa"/>
                  <w:shd w:val="clear" w:color="auto" w:fill="F9FAFB"/>
                  <w:tcMar>
                    <w:top w:w="40" w:type="dxa"/>
                    <w:left w:w="55" w:type="dxa"/>
                    <w:bottom w:w="40" w:type="dxa"/>
                    <w:right w:w="55" w:type="dxa"/>
                  </w:tcMar>
                </w:tcPr>
                <w:p w14:paraId="3F9C05AB" w14:textId="77777777" w:rsidR="004D5FF3" w:rsidRDefault="00000000">
                  <w:pPr>
                    <w:jc w:val="center"/>
                  </w:pPr>
                  <w:r>
                    <w:rPr>
                      <w:rFonts w:ascii="Aptos" w:eastAsia="Aptos" w:hAnsi="Aptos"/>
                      <w:color w:val="374151"/>
                      <w:sz w:val="16"/>
                    </w:rPr>
                    <w:t>3.5</w:t>
                  </w:r>
                </w:p>
              </w:tc>
            </w:tr>
          </w:tbl>
          <w:p w14:paraId="09559C6C" w14:textId="77777777" w:rsidR="004D5FF3" w:rsidRDefault="004D5FF3"/>
          <w:p w14:paraId="345E9FA5" w14:textId="77777777" w:rsidR="004D5FF3" w:rsidRDefault="00000000">
            <w:pPr>
              <w:spacing w:before="40" w:after="20"/>
            </w:pPr>
            <w:r>
              <w:rPr>
                <w:rFonts w:ascii="Aptos" w:eastAsia="Aptos" w:hAnsi="Aptos"/>
                <w:b/>
                <w:color w:val="1F2937"/>
                <w:sz w:val="21"/>
              </w:rPr>
              <w:t>Interpretation</w:t>
            </w:r>
          </w:p>
          <w:p w14:paraId="2D1F5090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Largest absolute upside: Microsoft</w:t>
            </w:r>
          </w:p>
          <w:p w14:paraId="25627310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Strongest revenue-mix shift: Palantir</w:t>
            </w:r>
          </w:p>
          <w:p w14:paraId="4CE502FB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Best workflow-AI upsell position: ServiceNow / Salesforce</w:t>
            </w:r>
          </w:p>
          <w:p w14:paraId="08B02CAE" w14:textId="77777777" w:rsidR="004D5FF3" w:rsidRDefault="00000000">
            <w:pPr>
              <w:spacing w:before="40" w:after="20"/>
            </w:pPr>
            <w:r>
              <w:rPr>
                <w:rFonts w:ascii="Aptos" w:eastAsia="Aptos" w:hAnsi="Aptos"/>
                <w:b/>
                <w:color w:val="1F2937"/>
                <w:sz w:val="21"/>
              </w:rPr>
              <w:t>Assumptions, sources, and limitations</w:t>
            </w:r>
          </w:p>
          <w:p w14:paraId="69AECC5A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Base-case assumptions vary by company and include baseline growth, AI-exposed revenue share, adoption rate, monetization yield, and a small cannibalization factor.</w:t>
            </w:r>
          </w:p>
          <w:p w14:paraId="71E27AEC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2025 AI revenue share is proxy-based where direct disclosure is unavailable.</w:t>
            </w:r>
          </w:p>
          <w:p w14:paraId="1892B4F6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Source basis includes annual reports, earnings releases, investor materials, and official AI product disclosures.</w:t>
            </w:r>
          </w:p>
          <w:p w14:paraId="4F34F358" w14:textId="77777777" w:rsidR="004D5FF3" w:rsidRDefault="00000000">
            <w:pPr>
              <w:spacing w:after="0"/>
              <w:ind w:left="230"/>
            </w:pPr>
            <w:r>
              <w:rPr>
                <w:rFonts w:ascii="Aptos" w:eastAsia="Aptos" w:hAnsi="Aptos"/>
                <w:color w:val="374151"/>
                <w:sz w:val="16"/>
              </w:rPr>
              <w:t>• Results are sensitive to adoption, monetization, and cannibalization assumptions.</w:t>
            </w:r>
          </w:p>
        </w:tc>
      </w:tr>
    </w:tbl>
    <w:p w14:paraId="66D3FCA7" w14:textId="31F87289" w:rsidR="004D5FF3" w:rsidRDefault="004D5FF3" w:rsidP="00287440">
      <w:pPr>
        <w:spacing w:before="80" w:after="0"/>
      </w:pPr>
    </w:p>
    <w:sectPr w:rsidR="004D5FF3" w:rsidSect="00034616">
      <w:pgSz w:w="15840" w:h="12240"/>
      <w:pgMar w:top="461" w:right="547" w:bottom="461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576048">
    <w:abstractNumId w:val="8"/>
  </w:num>
  <w:num w:numId="2" w16cid:durableId="1041519555">
    <w:abstractNumId w:val="6"/>
  </w:num>
  <w:num w:numId="3" w16cid:durableId="2074542823">
    <w:abstractNumId w:val="5"/>
  </w:num>
  <w:num w:numId="4" w16cid:durableId="325204821">
    <w:abstractNumId w:val="4"/>
  </w:num>
  <w:num w:numId="5" w16cid:durableId="2125538367">
    <w:abstractNumId w:val="7"/>
  </w:num>
  <w:num w:numId="6" w16cid:durableId="109517763">
    <w:abstractNumId w:val="3"/>
  </w:num>
  <w:num w:numId="7" w16cid:durableId="1620067239">
    <w:abstractNumId w:val="2"/>
  </w:num>
  <w:num w:numId="8" w16cid:durableId="659620683">
    <w:abstractNumId w:val="1"/>
  </w:num>
  <w:num w:numId="9" w16cid:durableId="209566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69F"/>
    <w:rsid w:val="0015074B"/>
    <w:rsid w:val="00287440"/>
    <w:rsid w:val="0029639D"/>
    <w:rsid w:val="00326F90"/>
    <w:rsid w:val="004D5F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A4E1F"/>
  <w14:defaultImageDpi w14:val="300"/>
  <w15:docId w15:val="{A865F25E-D4E6-48CB-8D51-0B542EAF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 Thomas</cp:lastModifiedBy>
  <cp:revision>2</cp:revision>
  <dcterms:created xsi:type="dcterms:W3CDTF">2013-12-23T23:15:00Z</dcterms:created>
  <dcterms:modified xsi:type="dcterms:W3CDTF">2026-04-11T19:28:00Z</dcterms:modified>
  <cp:category/>
</cp:coreProperties>
</file>