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mbria" w:cs="Cambria" w:eastAsia="Cambria" w:hAnsi="Cambria"/>
          <w:b/>
          <w:bCs/>
          <w:color w:val="1F4E79"/>
          <w:sz w:val="46"/>
          <w:szCs w:val="46"/>
        </w:rPr>
        <w:t xml:space="preserve">DISTRIBUCIONES ROSIMAR S.A.S.</w:t>
      </w:r>
    </w:p>
    <w:p>
      <w:pPr>
        <w:spacing w:after="40"/>
        <w:jc w:val="center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NIT. 901.167.955-4</w:t>
      </w:r>
    </w:p>
    <w:p>
      <w:pPr>
        <w:spacing w:after="40"/>
        <w:jc w:val="center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Barranquilla - Atlántico</w:t>
      </w:r>
    </w:p>
    <w:p>
      <w:pPr>
        <w:spacing w:after="60"/>
        <w:jc w:val="center"/>
      </w:pPr>
      <w:r>
        <w:rPr>
          <w:rFonts w:ascii="Cambria" w:cs="Cambria" w:eastAsia="Cambria" w:hAnsi="Cambria"/>
          <w:color w:val="1A1A1A"/>
          <w:sz w:val="20"/>
          <w:szCs w:val="20"/>
        </w:rPr>
        <w:t xml:space="preserve">[Dirección de la empresa]  ·  [Teléfono]  ·  [Correo institucional]</w:t>
      </w:r>
    </w:p>
    <w:p>
      <w:pPr>
        <w:pBdr>
          <w:bottom w:val="single" w:color="1F4E79" w:sz="18" w:space="6"/>
        </w:pBdr>
        <w:spacing w:after="300"/>
      </w:pPr>
    </w:p>
    <w:p>
      <w:pPr>
        <w:spacing w:after="300"/>
        <w:jc w:val="right"/>
      </w:pPr>
      <w:r>
        <w:rPr>
          <w:rFonts w:ascii="Cambria" w:cs="Cambria" w:eastAsia="Cambria" w:hAnsi="Cambria"/>
          <w:color w:val="1A1A1A"/>
          <w:sz w:val="23"/>
          <w:szCs w:val="23"/>
        </w:rPr>
        <w:t xml:space="preserve">Barranquilla, [día] de septiembre de 2026</w:t>
      </w:r>
    </w:p>
    <w:p>
      <w:pPr>
        <w:spacing w:after="180" w:line="300"/>
        <w:ind w:left="0"/>
        <w:jc w:val="left"/>
      </w:pPr>
      <w:r>
        <w:rPr>
          <w:rFonts w:ascii="Cambria" w:cs="Cambria" w:eastAsia="Cambria" w:hAnsi="Cambria"/>
          <w:b/>
          <w:bCs/>
          <w:color w:val="1A1A1A"/>
          <w:sz w:val="24"/>
          <w:szCs w:val="24"/>
        </w:rPr>
        <w:t xml:space="preserve">Señores</w:t>
      </w:r>
    </w:p>
    <w:p>
      <w:pPr>
        <w:spacing w:after="180" w:line="300"/>
        <w:jc w:val="left"/>
      </w:pPr>
      <w:r>
        <w:rPr>
          <w:rFonts w:ascii="Cambria" w:cs="Cambria" w:eastAsia="Cambria" w:hAnsi="Cambria"/>
          <w:color w:val="1A1A1A"/>
          <w:sz w:val="24"/>
          <w:szCs w:val="24"/>
        </w:rPr>
        <w:t xml:space="preserve">[Nombre de la Universidad]</w:t>
      </w:r>
    </w:p>
    <w:p>
      <w:pPr>
        <w:spacing w:after="180" w:line="300"/>
        <w:jc w:val="left"/>
      </w:pPr>
      <w:r>
        <w:rPr>
          <w:rFonts w:ascii="Cambria" w:cs="Cambria" w:eastAsia="Cambria" w:hAnsi="Cambria"/>
          <w:color w:val="1A1A1A"/>
          <w:sz w:val="24"/>
          <w:szCs w:val="24"/>
        </w:rPr>
        <w:t xml:space="preserve">[Programa Académico]</w:t>
      </w:r>
    </w:p>
    <w:p>
      <w:pPr>
        <w:spacing w:after="180" w:line="300"/>
        <w:jc w:val="left"/>
      </w:pPr>
      <w:r>
        <w:rPr>
          <w:rFonts w:ascii="Cambria" w:cs="Cambria" w:eastAsia="Cambria" w:hAnsi="Cambria"/>
          <w:color w:val="1A1A1A"/>
          <w:sz w:val="24"/>
          <w:szCs w:val="24"/>
        </w:rPr>
        <w:t xml:space="preserve">[Coordinación de Prácticas Profesionales]</w:t>
      </w:r>
    </w:p>
    <w:p>
      <w:pPr>
        <w:spacing w:after="260"/>
      </w:pPr>
      <w:r>
        <w:rPr>
          <w:rFonts w:ascii="Cambria" w:cs="Cambria" w:eastAsia="Cambria" w:hAnsi="Cambria"/>
          <w:color w:val="1A1A1A"/>
          <w:sz w:val="24"/>
          <w:szCs w:val="24"/>
        </w:rPr>
        <w:t xml:space="preserve">[Ciudad]</w:t>
      </w:r>
    </w:p>
    <w:p>
      <w:pPr>
        <w:spacing w:after="300" w:line="300"/>
      </w:pPr>
      <w:r>
        <w:rPr>
          <w:rFonts w:ascii="Cambria" w:cs="Cambria" w:eastAsia="Cambria" w:hAnsi="Cambria"/>
          <w:b/>
          <w:bCs/>
          <w:color w:val="1A1A1A"/>
          <w:sz w:val="24"/>
          <w:szCs w:val="24"/>
        </w:rPr>
        <w:t xml:space="preserve">Asunto: </w:t>
      </w:r>
      <w:r>
        <w:rPr>
          <w:rFonts w:ascii="Cambria" w:cs="Cambria" w:eastAsia="Cambria" w:hAnsi="Cambria"/>
          <w:color w:val="1A1A1A"/>
          <w:sz w:val="24"/>
          <w:szCs w:val="24"/>
        </w:rPr>
        <w:t xml:space="preserve">aval del desarrollo de práctica profesional y presentación del proyecto a cargo del estudiante [NOMBRE DEL ESTUDIANTE], código [CÓDIGO]</w:t>
      </w:r>
    </w:p>
    <w:p>
      <w:pPr>
        <w:spacing w:after="180" w:line="300"/>
        <w:jc w:val="left"/>
      </w:pPr>
      <w:r>
        <w:rPr>
          <w:rFonts w:ascii="Cambria" w:cs="Cambria" w:eastAsia="Cambria" w:hAnsi="Cambria"/>
          <w:color w:val="1A1A1A"/>
          <w:sz w:val="24"/>
          <w:szCs w:val="24"/>
        </w:rPr>
        <w:t xml:space="preserve">Cordial saludo,</w:t>
      </w:r>
    </w:p>
    <w:p>
      <w:pPr>
        <w:spacing w:after="180" w:line="300"/>
        <w:jc w:val="both"/>
      </w:pPr>
      <w:r>
        <w:rPr>
          <w:rFonts w:ascii="Cambria" w:cs="Cambria" w:eastAsia="Cambria" w:hAnsi="Cambria"/>
          <w:color w:val="1A1A1A"/>
          <w:sz w:val="24"/>
          <w:szCs w:val="24"/>
        </w:rPr>
        <w:t xml:space="preserve">Distribuciones Rosimar S.A.S., empresa dedicada a la distribución de productos de consumo masivo con [número] puntos de venta en la región Caribe, certifica que el estudiante </w:t>
      </w:r>
      <w:r>
        <w:rPr>
          <w:rFonts w:ascii="Cambria" w:cs="Cambria" w:eastAsia="Cambria" w:hAnsi="Cambria"/>
          <w:b/>
          <w:bCs/>
          <w:color w:val="1A1A1A"/>
          <w:sz w:val="24"/>
          <w:szCs w:val="24"/>
        </w:rPr>
        <w:t xml:space="preserve">[NOMBRE DEL ESTUDIANTE]</w:t>
      </w:r>
      <w:r>
        <w:rPr>
          <w:rFonts w:ascii="Cambria" w:cs="Cambria" w:eastAsia="Cambria" w:hAnsi="Cambria"/>
          <w:color w:val="1A1A1A"/>
          <w:sz w:val="24"/>
          <w:szCs w:val="24"/>
        </w:rPr>
        <w:t xml:space="preserve">, identificado con cédula de ciudadanía [CÉDULA], del programa [PROGRAMA] de [UNIVERSIDAD], ha sido aceptado para desarrollar su práctica profesional en el </w:t>
      </w:r>
      <w:r>
        <w:rPr>
          <w:rFonts w:ascii="Cambria" w:cs="Cambria" w:eastAsia="Cambria" w:hAnsi="Cambria"/>
          <w:b/>
          <w:bCs/>
          <w:color w:val="1A1A1A"/>
          <w:sz w:val="24"/>
          <w:szCs w:val="24"/>
        </w:rPr>
        <w:t xml:space="preserve">área de Talento Humano</w:t>
      </w:r>
      <w:r>
        <w:rPr>
          <w:rFonts w:ascii="Cambria" w:cs="Cambria" w:eastAsia="Cambria" w:hAnsi="Cambria"/>
          <w:color w:val="1A1A1A"/>
          <w:sz w:val="24"/>
          <w:szCs w:val="24"/>
        </w:rPr>
        <w:t xml:space="preserve"> de esta organización, bajo la supervisión directa de:</w:t>
      </w:r>
    </w:p>
    <w:p>
      <w:pPr>
        <w:pBdr>
          <w:top w:val="single" w:color="1F4E79" w:sz="4" w:space="4"/>
          <w:bottom w:val="single" w:color="1F4E79" w:sz="4" w:space="4"/>
          <w:left w:val="single" w:color="1F4E79" w:sz="18" w:space="8"/>
          <w:right w:val="single" w:color="1F4E79" w:sz="4" w:space="4"/>
        </w:pBdr>
        <w:spacing w:after="260" w:before="160"/>
        <w:ind w:left="700" w:right="400"/>
      </w:pPr>
      <w:r>
        <w:rPr>
          <w:rFonts w:ascii="Cambria" w:cs="Cambria" w:eastAsia="Cambria" w:hAnsi="Cambria"/>
          <w:b/>
          <w:bCs/>
          <w:color w:val="1F4E79"/>
          <w:sz w:val="24"/>
          <w:szCs w:val="24"/>
        </w:rPr>
        <w:t xml:space="preserve">Gonzalo Gualdrón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  -  Supervisor de práctica profesional</w:t>
      </w:r>
    </w:p>
    <w:p>
      <w:pPr>
        <w:spacing w:after="300"/>
      </w:pPr>
      <w:r>
        <w:rPr>
          <w:rFonts w:ascii="Cambria" w:cs="Cambria" w:eastAsia="Cambria" w:hAnsi="Cambria"/>
          <w:color w:val="1A1A1A"/>
          <w:sz w:val="24"/>
          <w:szCs w:val="24"/>
        </w:rPr>
        <w:t xml:space="preserve">El periodo de la práctica comprende del </w:t>
      </w:r>
      <w:r>
        <w:rPr>
          <w:rFonts w:ascii="Cambria" w:cs="Cambria" w:eastAsia="Cambria" w:hAnsi="Cambria"/>
          <w:b/>
          <w:bCs/>
          <w:color w:val="1A1A1A"/>
          <w:sz w:val="24"/>
          <w:szCs w:val="24"/>
        </w:rPr>
        <w:t xml:space="preserve">1 de septiembre al 8 de noviembre de 2026.</w:t>
      </w:r>
    </w:p>
    <w:p>
      <w:pPr>
        <w:pStyle w:val="Heading2"/>
        <w:pBdr>
          <w:bottom w:val="single" w:color="1F4E79" w:sz="8" w:space="4"/>
        </w:pBdr>
        <w:spacing w:after="200" w:before="320"/>
      </w:pPr>
      <w:r>
        <w:rPr>
          <w:rFonts w:ascii="Cambria" w:cs="Cambria" w:eastAsia="Cambria" w:hAnsi="Cambria"/>
          <w:b/>
          <w:bCs/>
          <w:color w:val="1F4E79"/>
          <w:sz w:val="30"/>
          <w:szCs w:val="30"/>
        </w:rPr>
        <w:t xml:space="preserve">1. </w:t>
      </w:r>
      <w:r>
        <w:rPr>
          <w:rFonts w:ascii="Cambria" w:cs="Cambria" w:eastAsia="Cambria" w:hAnsi="Cambria"/>
          <w:b/>
          <w:bCs/>
          <w:color w:val="1F4E79"/>
          <w:sz w:val="30"/>
          <w:szCs w:val="30"/>
        </w:rPr>
        <w:t xml:space="preserve">Proyecto del estudiante</w:t>
      </w:r>
    </w:p>
    <w:p>
      <w:pPr>
        <w:pBdr>
          <w:top w:val="single" w:color="1F4E79" w:sz="6" w:space="8"/>
          <w:bottom w:val="single" w:color="1F4E79" w:sz="6" w:space="8"/>
          <w:left w:val="single" w:color="1F4E79" w:sz="6" w:space="8"/>
          <w:right w:val="single" w:color="1F4E79" w:sz="6" w:space="8"/>
        </w:pBdr>
        <w:spacing w:after="200" w:line="300"/>
        <w:ind w:left="300" w:right="300"/>
        <w:jc w:val="both"/>
      </w:pPr>
      <w:r>
        <w:rPr>
          <w:rFonts w:ascii="Cambria" w:cs="Cambria" w:eastAsia="Cambria" w:hAnsi="Cambria"/>
          <w:b/>
          <w:bCs/>
          <w:i/>
          <w:iCs/>
          <w:color w:val="1F4E79"/>
          <w:sz w:val="24"/>
          <w:szCs w:val="24"/>
        </w:rPr>
        <w:t xml:space="preserve">Sistema de información basado en OCR para la gestión y procesamiento automatizado de hojas de vida en el área de Talento Humano de Distribuciones Rosimar S.A.S.</w:t>
      </w:r>
    </w:p>
    <w:p>
      <w:pPr>
        <w:spacing w:after="180" w:line="300"/>
        <w:jc w:val="both"/>
      </w:pPr>
      <w:r>
        <w:rPr>
          <w:rFonts w:ascii="Cambria" w:cs="Cambria" w:eastAsia="Cambria" w:hAnsi="Cambria"/>
          <w:b/>
          <w:bCs/>
          <w:color w:val="1A1A1A"/>
          <w:sz w:val="24"/>
          <w:szCs w:val="24"/>
        </w:rPr>
        <w:t xml:space="preserve">Objetivo general: </w:t>
      </w:r>
      <w:r>
        <w:rPr>
          <w:rFonts w:ascii="Cambria" w:cs="Cambria" w:eastAsia="Cambria" w:hAnsi="Cambria"/>
          <w:color w:val="1A1A1A"/>
          <w:sz w:val="24"/>
          <w:szCs w:val="24"/>
        </w:rPr>
        <w:t xml:space="preserve">desarrollar un sistema de información basado en reconocimiento óptico de caracteres (OCR) para la gestión y procesamiento automatizado de las hojas de vida, con el fin de optimizar los tiempos de análisis, clasificación y selección de personal en el área de Talento Humano de la empresa.</w:t>
      </w:r>
    </w:p>
    <w:p>
      <w:pPr>
        <w:pStyle w:val="Heading2"/>
        <w:pBdr>
          <w:bottom w:val="single" w:color="1F4E79" w:sz="8" w:space="4"/>
        </w:pBdr>
        <w:spacing w:after="200" w:before="320"/>
      </w:pPr>
      <w:r>
        <w:rPr>
          <w:rFonts w:ascii="Cambria" w:cs="Cambria" w:eastAsia="Cambria" w:hAnsi="Cambria"/>
          <w:b/>
          <w:bCs/>
          <w:color w:val="1F4E79"/>
          <w:sz w:val="30"/>
          <w:szCs w:val="30"/>
        </w:rPr>
        <w:t xml:space="preserve">2. </w:t>
      </w:r>
      <w:r>
        <w:rPr>
          <w:rFonts w:ascii="Cambria" w:cs="Cambria" w:eastAsia="Cambria" w:hAnsi="Cambria"/>
          <w:b/>
          <w:bCs/>
          <w:color w:val="1F4E79"/>
          <w:sz w:val="30"/>
          <w:szCs w:val="30"/>
        </w:rPr>
        <w:t xml:space="preserve">Objetivos específicos</w:t>
      </w:r>
    </w:p>
    <w:p>
      <w:pPr>
        <w:spacing w:after="180" w:line="300"/>
        <w:ind w:left="400"/>
        <w:jc w:val="both"/>
      </w:pPr>
      <w:r>
        <w:rPr>
          <w:rFonts w:ascii="Cambria" w:cs="Cambria" w:eastAsia="Cambria" w:hAnsi="Cambria"/>
          <w:b/>
          <w:bCs/>
          <w:color w:val="1F4E79"/>
          <w:sz w:val="24"/>
          <w:szCs w:val="24"/>
        </w:rPr>
        <w:t xml:space="preserve">1. </w:t>
      </w:r>
      <w:r>
        <w:rPr>
          <w:rFonts w:ascii="Cambria" w:cs="Cambria" w:eastAsia="Cambria" w:hAnsi="Cambria"/>
          <w:color w:val="1A1A1A"/>
          <w:sz w:val="24"/>
          <w:szCs w:val="24"/>
        </w:rPr>
        <w:t xml:space="preserve">Recomputar y diagnosticar los requerimientos funcionales y no funcionales del área de Talento Humano para la recepción, filtrado y almacenamiento de las hojas de vida en Distribuciones Rosimar S.A.S.</w:t>
      </w:r>
    </w:p>
    <w:p>
      <w:pPr>
        <w:spacing w:after="180" w:line="300"/>
        <w:ind w:left="400"/>
        <w:jc w:val="both"/>
      </w:pPr>
      <w:r>
        <w:rPr>
          <w:rFonts w:ascii="Cambria" w:cs="Cambria" w:eastAsia="Cambria" w:hAnsi="Cambria"/>
          <w:b/>
          <w:bCs/>
          <w:color w:val="1F4E79"/>
          <w:sz w:val="24"/>
          <w:szCs w:val="24"/>
        </w:rPr>
        <w:t xml:space="preserve">2. </w:t>
      </w:r>
      <w:r>
        <w:rPr>
          <w:rFonts w:ascii="Cambria" w:cs="Cambria" w:eastAsia="Cambria" w:hAnsi="Cambria"/>
          <w:color w:val="1A1A1A"/>
          <w:sz w:val="24"/>
          <w:szCs w:val="24"/>
        </w:rPr>
        <w:t xml:space="preserve">Diseñar la arquitectura del sistema y la base de datos, definiendo los modelos de datos, la interfaz de usuario y la integración del motor de OCR para la extracción precisa de información clave (datos personales, formación y experiencia).</w:t>
      </w:r>
    </w:p>
    <w:p>
      <w:pPr>
        <w:spacing w:after="180" w:line="300"/>
        <w:ind w:left="400"/>
        <w:jc w:val="both"/>
      </w:pPr>
      <w:r>
        <w:rPr>
          <w:rFonts w:ascii="Cambria" w:cs="Cambria" w:eastAsia="Cambria" w:hAnsi="Cambria"/>
          <w:b/>
          <w:bCs/>
          <w:color w:val="1F4E79"/>
          <w:sz w:val="24"/>
          <w:szCs w:val="24"/>
        </w:rPr>
        <w:t xml:space="preserve">3. </w:t>
      </w:r>
      <w:r>
        <w:rPr>
          <w:rFonts w:ascii="Cambria" w:cs="Cambria" w:eastAsia="Cambria" w:hAnsi="Cambria"/>
          <w:color w:val="1A1A1A"/>
          <w:sz w:val="24"/>
          <w:szCs w:val="24"/>
        </w:rPr>
        <w:t xml:space="preserve">Construir los módulos del sistema de información integrando las funcionalidades de carga masiva, procesamiento OCR, etiquetado dinámico y motor de búsqueda inteligente de candidatos.</w:t>
      </w:r>
    </w:p>
    <w:p>
      <w:pPr>
        <w:spacing w:after="180" w:line="300"/>
        <w:ind w:left="400"/>
        <w:jc w:val="both"/>
      </w:pPr>
      <w:r>
        <w:rPr>
          <w:rFonts w:ascii="Cambria" w:cs="Cambria" w:eastAsia="Cambria" w:hAnsi="Cambria"/>
          <w:b/>
          <w:bCs/>
          <w:color w:val="1F4E79"/>
          <w:sz w:val="24"/>
          <w:szCs w:val="24"/>
        </w:rPr>
        <w:t xml:space="preserve">4. </w:t>
      </w:r>
      <w:r>
        <w:rPr>
          <w:rFonts w:ascii="Cambria" w:cs="Cambria" w:eastAsia="Cambria" w:hAnsi="Cambria"/>
          <w:color w:val="1A1A1A"/>
          <w:sz w:val="24"/>
          <w:szCs w:val="24"/>
        </w:rPr>
        <w:t xml:space="preserve">Validar y probar la plataforma mediante pruebas funcionales, de usabilidad y de precisión del OCR con hojas de vida reales del área de Talento Humano de la empresa.</w:t>
      </w:r>
    </w:p>
    <w:p>
      <w:pPr>
        <w:pStyle w:val="Heading2"/>
        <w:pBdr>
          <w:bottom w:val="single" w:color="1F4E79" w:sz="8" w:space="4"/>
        </w:pBdr>
        <w:spacing w:after="200" w:before="320"/>
      </w:pPr>
      <w:r>
        <w:rPr>
          <w:rFonts w:ascii="Cambria" w:cs="Cambria" w:eastAsia="Cambria" w:hAnsi="Cambria"/>
          <w:b/>
          <w:bCs/>
          <w:color w:val="1F4E79"/>
          <w:sz w:val="30"/>
          <w:szCs w:val="30"/>
        </w:rPr>
        <w:t xml:space="preserve">3. </w:t>
      </w:r>
      <w:r>
        <w:rPr>
          <w:rFonts w:ascii="Cambria" w:cs="Cambria" w:eastAsia="Cambria" w:hAnsi="Cambria"/>
          <w:b/>
          <w:bCs/>
          <w:color w:val="1F4E79"/>
          <w:sz w:val="30"/>
          <w:szCs w:val="30"/>
        </w:rPr>
        <w:t xml:space="preserve">Cronograma propuesto (1 de septiembre al 8 de noviembre de 2026)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4%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D9E2F3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A1A1A"/>
                <w:sz w:val="21"/>
                <w:szCs w:val="21"/>
              </w:rPr>
              <w:t xml:space="preserve">Semana</w:t>
            </w:r>
          </w:p>
        </w:tc>
        <w:tc>
          <w:tcPr>
            <w:tcW w:type="pct" w:w="18%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D9E2F3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A1A1A"/>
                <w:sz w:val="21"/>
                <w:szCs w:val="21"/>
              </w:rPr>
              <w:t xml:space="preserve">Fecha</w:t>
            </w:r>
          </w:p>
        </w:tc>
        <w:tc>
          <w:tcPr>
            <w:tcW w:type="pct" w:w="54%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D9E2F3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Cambria" w:cs="Cambria" w:eastAsia="Cambria" w:hAnsi="Cambria"/>
                <w:b/>
                <w:bCs/>
                <w:color w:val="1A1A1A"/>
                <w:sz w:val="21"/>
                <w:szCs w:val="21"/>
              </w:rPr>
              <w:t xml:space="preserve">Actividad</w:t>
            </w:r>
          </w:p>
        </w:tc>
        <w:tc>
          <w:tcPr>
            <w:tcW w:type="pct" w:w="14%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D9E2F3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A1A1A"/>
                <w:sz w:val="21"/>
                <w:szCs w:val="21"/>
              </w:rPr>
              <w:t xml:space="preserve">Objetivo</w:t>
            </w:r>
          </w:p>
        </w:tc>
      </w:tr>
      <w:tr>
        <w:trPr>
          <w:tblHeader w:val="false"/>
        </w:trPr>
        <w:tc>
          <w:tcPr>
            <w:tcW w:type="pct" w:w="14%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1A1A1A"/>
                <w:sz w:val="21"/>
                <w:szCs w:val="21"/>
              </w:rPr>
              <w:t xml:space="preserve">1</w:t>
            </w:r>
          </w:p>
        </w:tc>
        <w:tc>
          <w:tcPr>
            <w:tcW w:type="pct" w:w="18%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1A1A1A"/>
                <w:sz w:val="21"/>
                <w:szCs w:val="21"/>
              </w:rPr>
              <w:t xml:space="preserve">Sep 1 - 4</w:t>
            </w:r>
          </w:p>
        </w:tc>
        <w:tc>
          <w:tcPr>
            <w:tcW w:type="pct" w:w="54%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1A1A1A"/>
                <w:sz w:val="21"/>
                <w:szCs w:val="21"/>
              </w:rPr>
              <w:t xml:space="preserve">Inicio de práctica, reconocimiento de la empresa y del área de Talento Humano; definición del plan de trabajo</w:t>
            </w:r>
          </w:p>
        </w:tc>
        <w:tc>
          <w:tcPr>
            <w:tcW w:type="pct" w:w="14%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1A1A1A"/>
                <w:sz w:val="21"/>
                <w:szCs w:val="21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pct" w:w="14%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1A1A1A"/>
                <w:sz w:val="21"/>
                <w:szCs w:val="21"/>
              </w:rPr>
              <w:t xml:space="preserve">2</w:t>
            </w:r>
          </w:p>
        </w:tc>
        <w:tc>
          <w:tcPr>
            <w:tcW w:type="pct" w:w="18%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1A1A1A"/>
                <w:sz w:val="21"/>
                <w:szCs w:val="21"/>
              </w:rPr>
              <w:t xml:space="preserve">Sep 7 - 11</w:t>
            </w:r>
          </w:p>
        </w:tc>
        <w:tc>
          <w:tcPr>
            <w:tcW w:type="pct" w:w="54%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1A1A1A"/>
                <w:sz w:val="21"/>
                <w:szCs w:val="21"/>
              </w:rPr>
              <w:t xml:space="preserve">Levantamiento de requerimientos funcionales (recepción, filtrado y almacenamiento de hojas de vida)</w:t>
            </w:r>
          </w:p>
        </w:tc>
        <w:tc>
          <w:tcPr>
            <w:tcW w:type="pct" w:w="14%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1A1A1A"/>
                <w:sz w:val="21"/>
                <w:szCs w:val="21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pct" w:w="14%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1A1A1A"/>
                <w:sz w:val="21"/>
                <w:szCs w:val="21"/>
              </w:rPr>
              <w:t xml:space="preserve">3</w:t>
            </w:r>
          </w:p>
        </w:tc>
        <w:tc>
          <w:tcPr>
            <w:tcW w:type="pct" w:w="18%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1A1A1A"/>
                <w:sz w:val="21"/>
                <w:szCs w:val="21"/>
              </w:rPr>
              <w:t xml:space="preserve">Sep 14 - 18</w:t>
            </w:r>
          </w:p>
        </w:tc>
        <w:tc>
          <w:tcPr>
            <w:tcW w:type="pct" w:w="54%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1A1A1A"/>
                <w:sz w:val="21"/>
                <w:szCs w:val="21"/>
              </w:rPr>
              <w:t xml:space="preserve">Diagnóstico de requerimientos no funcionales y caracterización del proceso actual; documento de requerimientos</w:t>
            </w:r>
          </w:p>
        </w:tc>
        <w:tc>
          <w:tcPr>
            <w:tcW w:type="pct" w:w="14%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1A1A1A"/>
                <w:sz w:val="21"/>
                <w:szCs w:val="21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pct" w:w="14%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1A1A1A"/>
                <w:sz w:val="21"/>
                <w:szCs w:val="21"/>
              </w:rPr>
              <w:t xml:space="preserve">4-5</w:t>
            </w:r>
          </w:p>
        </w:tc>
        <w:tc>
          <w:tcPr>
            <w:tcW w:type="pct" w:w="18%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1A1A1A"/>
                <w:sz w:val="21"/>
                <w:szCs w:val="21"/>
              </w:rPr>
              <w:t xml:space="preserve">Sep 21 - Oct 2</w:t>
            </w:r>
          </w:p>
        </w:tc>
        <w:tc>
          <w:tcPr>
            <w:tcW w:type="pct" w:w="54%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1A1A1A"/>
                <w:sz w:val="21"/>
                <w:szCs w:val="21"/>
              </w:rPr>
              <w:t xml:space="preserve">Diseño de arquitectura, modelo de datos, casos de uso, interfaz e integración del motor de OCR</w:t>
            </w:r>
          </w:p>
        </w:tc>
        <w:tc>
          <w:tcPr>
            <w:tcW w:type="pct" w:w="14%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1A1A1A"/>
                <w:sz w:val="21"/>
                <w:szCs w:val="21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pct" w:w="14%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1A1A1A"/>
                <w:sz w:val="21"/>
                <w:szCs w:val="21"/>
              </w:rPr>
              <w:t xml:space="preserve">6-7</w:t>
            </w:r>
          </w:p>
        </w:tc>
        <w:tc>
          <w:tcPr>
            <w:tcW w:type="pct" w:w="18%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1A1A1A"/>
                <w:sz w:val="21"/>
                <w:szCs w:val="21"/>
              </w:rPr>
              <w:t xml:space="preserve">Oct 5 - 16</w:t>
            </w:r>
          </w:p>
        </w:tc>
        <w:tc>
          <w:tcPr>
            <w:tcW w:type="pct" w:w="54%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1A1A1A"/>
                <w:sz w:val="21"/>
                <w:szCs w:val="21"/>
              </w:rPr>
              <w:t xml:space="preserve">Construcción de módulos: carga masiva de hojas de vida y procesamiento OCR</w:t>
            </w:r>
          </w:p>
        </w:tc>
        <w:tc>
          <w:tcPr>
            <w:tcW w:type="pct" w:w="14%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1A1A1A"/>
                <w:sz w:val="21"/>
                <w:szCs w:val="21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pct" w:w="14%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1A1A1A"/>
                <w:sz w:val="21"/>
                <w:szCs w:val="21"/>
              </w:rPr>
              <w:t xml:space="preserve">8-9</w:t>
            </w:r>
          </w:p>
        </w:tc>
        <w:tc>
          <w:tcPr>
            <w:tcW w:type="pct" w:w="18%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1A1A1A"/>
                <w:sz w:val="21"/>
                <w:szCs w:val="21"/>
              </w:rPr>
              <w:t xml:space="preserve">Oct 19 - 30</w:t>
            </w:r>
          </w:p>
        </w:tc>
        <w:tc>
          <w:tcPr>
            <w:tcW w:type="pct" w:w="54%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1A1A1A"/>
                <w:sz w:val="21"/>
                <w:szCs w:val="21"/>
              </w:rPr>
              <w:t xml:space="preserve">Construcción de módulos: etiquetado dinámico y motor de búsqueda inteligente de candidatos</w:t>
            </w:r>
          </w:p>
        </w:tc>
        <w:tc>
          <w:tcPr>
            <w:tcW w:type="pct" w:w="14%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1A1A1A"/>
                <w:sz w:val="21"/>
                <w:szCs w:val="21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pct" w:w="14%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1A1A1A"/>
                <w:sz w:val="21"/>
                <w:szCs w:val="21"/>
              </w:rPr>
              <w:t xml:space="preserve">10</w:t>
            </w:r>
          </w:p>
        </w:tc>
        <w:tc>
          <w:tcPr>
            <w:tcW w:type="pct" w:w="18%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1A1A1A"/>
                <w:sz w:val="21"/>
                <w:szCs w:val="21"/>
              </w:rPr>
              <w:t xml:space="preserve">Nov 2 - 6</w:t>
            </w:r>
          </w:p>
        </w:tc>
        <w:tc>
          <w:tcPr>
            <w:tcW w:type="pct" w:w="54%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1A1A1A"/>
                <w:sz w:val="21"/>
                <w:szCs w:val="21"/>
              </w:rPr>
              <w:t xml:space="preserve">Pruebas funcionales, de usabilidad y de precisión del OCR con hojas de vida reales</w:t>
            </w:r>
          </w:p>
        </w:tc>
        <w:tc>
          <w:tcPr>
            <w:tcW w:type="pct" w:w="14%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1A1A1A"/>
                <w:sz w:val="21"/>
                <w:szCs w:val="21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pct" w:w="14%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1A1A1A"/>
                <w:sz w:val="21"/>
                <w:szCs w:val="21"/>
              </w:rPr>
              <w:t xml:space="preserve">Cierre</w:t>
            </w:r>
          </w:p>
        </w:tc>
        <w:tc>
          <w:tcPr>
            <w:tcW w:type="pct" w:w="18%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1A1A1A"/>
                <w:sz w:val="21"/>
                <w:szCs w:val="21"/>
              </w:rPr>
              <w:t xml:space="preserve">Nov 6 - 8</w:t>
            </w:r>
          </w:p>
        </w:tc>
        <w:tc>
          <w:tcPr>
            <w:tcW w:type="pct" w:w="54%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1A1A1A"/>
                <w:sz w:val="21"/>
                <w:szCs w:val="21"/>
              </w:rPr>
              <w:t xml:space="preserve">Consolidación de resultados, informe final y cierre de la práctica</w:t>
            </w:r>
          </w:p>
        </w:tc>
        <w:tc>
          <w:tcPr>
            <w:tcW w:type="pct" w:w="14%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1A1A1A"/>
                <w:sz w:val="21"/>
                <w:szCs w:val="21"/>
              </w:rPr>
              <w:t xml:space="preserve">4</w:t>
            </w:r>
          </w:p>
        </w:tc>
      </w:tr>
    </w:tbl>
    <w:p>
      <w:pPr>
        <w:spacing w:after="200" w:before="120"/>
      </w:pPr>
      <w:r>
        <w:rPr>
          <w:rFonts w:ascii="Cambria" w:cs="Cambria" w:eastAsia="Cambria" w:hAnsi="Cambria"/>
          <w:i/>
          <w:iCs/>
          <w:color w:val="1A1A1A"/>
          <w:sz w:val="20"/>
          <w:szCs w:val="20"/>
        </w:rPr>
        <w:t xml:space="preserve">Total: 10 semanas, distribuidas en cuatro fases, una por cada objetivo del proyecto.</w:t>
      </w:r>
    </w:p>
    <w:p>
      <w:pPr>
        <w:pStyle w:val="Heading2"/>
        <w:pBdr>
          <w:bottom w:val="single" w:color="1F4E79" w:sz="8" w:space="4"/>
        </w:pBdr>
        <w:spacing w:after="200" w:before="320"/>
      </w:pPr>
      <w:r>
        <w:rPr>
          <w:rFonts w:ascii="Cambria" w:cs="Cambria" w:eastAsia="Cambria" w:hAnsi="Cambria"/>
          <w:b/>
          <w:bCs/>
          <w:color w:val="1F4E79"/>
          <w:sz w:val="30"/>
          <w:szCs w:val="30"/>
        </w:rPr>
        <w:t xml:space="preserve">4. </w:t>
      </w:r>
      <w:r>
        <w:rPr>
          <w:rFonts w:ascii="Cambria" w:cs="Cambria" w:eastAsia="Cambria" w:hAnsi="Cambria"/>
          <w:b/>
          <w:bCs/>
          <w:color w:val="1F4E79"/>
          <w:sz w:val="30"/>
          <w:szCs w:val="30"/>
        </w:rPr>
        <w:t xml:space="preserve">Compromisos de la empresa</w:t>
      </w:r>
    </w:p>
    <w:p>
      <w:pPr>
        <w:spacing w:after="180" w:line="300"/>
        <w:ind w:left="400"/>
        <w:jc w:val="both"/>
      </w:pPr>
      <w:r>
        <w:rPr>
          <w:rFonts w:ascii="Cambria" w:cs="Cambria" w:eastAsia="Cambria" w:hAnsi="Cambria"/>
          <w:b/>
          <w:bCs/>
          <w:color w:val="1F4E79"/>
          <w:sz w:val="24"/>
          <w:szCs w:val="24"/>
        </w:rPr>
        <w:t xml:space="preserve">•  </w:t>
      </w:r>
      <w:r>
        <w:rPr>
          <w:rFonts w:ascii="Cambria" w:cs="Cambria" w:eastAsia="Cambria" w:hAnsi="Cambria"/>
          <w:color w:val="1A1A1A"/>
          <w:sz w:val="24"/>
          <w:szCs w:val="24"/>
        </w:rPr>
        <w:t xml:space="preserve">Facilitar al estudiante el acceso a la información y a las hojas de vida reales del área de Talento Humano necesarias para el desarrollo y la validación del proyecto.</w:t>
      </w:r>
    </w:p>
    <w:p>
      <w:pPr>
        <w:spacing w:after="180" w:line="300"/>
        <w:ind w:left="400"/>
        <w:jc w:val="both"/>
      </w:pPr>
      <w:r>
        <w:rPr>
          <w:rFonts w:ascii="Cambria" w:cs="Cambria" w:eastAsia="Cambria" w:hAnsi="Cambria"/>
          <w:b/>
          <w:bCs/>
          <w:color w:val="1F4E79"/>
          <w:sz w:val="24"/>
          <w:szCs w:val="24"/>
        </w:rPr>
        <w:t xml:space="preserve">•  </w:t>
      </w:r>
      <w:r>
        <w:rPr>
          <w:rFonts w:ascii="Cambria" w:cs="Cambria" w:eastAsia="Cambria" w:hAnsi="Cambria"/>
          <w:color w:val="1A1A1A"/>
          <w:sz w:val="24"/>
          <w:szCs w:val="24"/>
        </w:rPr>
        <w:t xml:space="preserve">Acompañar el proceso mediante asesorías periódicas del supervisor asignado y disposición del personal del área para las entrevistas de levantamiento de requerimientos.</w:t>
      </w:r>
    </w:p>
    <w:p>
      <w:pPr>
        <w:spacing w:after="180" w:line="300"/>
        <w:ind w:left="400"/>
        <w:jc w:val="both"/>
      </w:pPr>
      <w:r>
        <w:rPr>
          <w:rFonts w:ascii="Cambria" w:cs="Cambria" w:eastAsia="Cambria" w:hAnsi="Cambria"/>
          <w:b/>
          <w:bCs/>
          <w:color w:val="1F4E79"/>
          <w:sz w:val="24"/>
          <w:szCs w:val="24"/>
        </w:rPr>
        <w:t xml:space="preserve">•  </w:t>
      </w:r>
      <w:r>
        <w:rPr>
          <w:rFonts w:ascii="Cambria" w:cs="Cambria" w:eastAsia="Cambria" w:hAnsi="Cambria"/>
          <w:color w:val="1A1A1A"/>
          <w:sz w:val="24"/>
          <w:szCs w:val="24"/>
        </w:rPr>
        <w:t xml:space="preserve">Garantizar la confidencialidad de los datos personales tratados, en concordancia con las normas de habeas data y las políticas internas de la organización.</w:t>
      </w:r>
    </w:p>
    <w:p>
      <w:pPr>
        <w:spacing w:after="180" w:line="300"/>
        <w:ind w:left="400"/>
        <w:jc w:val="both"/>
      </w:pPr>
      <w:r>
        <w:rPr>
          <w:rFonts w:ascii="Cambria" w:cs="Cambria" w:eastAsia="Cambria" w:hAnsi="Cambria"/>
          <w:b/>
          <w:bCs/>
          <w:color w:val="1F4E79"/>
          <w:sz w:val="24"/>
          <w:szCs w:val="24"/>
        </w:rPr>
        <w:t xml:space="preserve">•  </w:t>
      </w:r>
      <w:r>
        <w:rPr>
          <w:rFonts w:ascii="Cambria" w:cs="Cambria" w:eastAsia="Cambria" w:hAnsi="Cambria"/>
          <w:color w:val="1A1A1A"/>
          <w:sz w:val="24"/>
          <w:szCs w:val="24"/>
        </w:rPr>
        <w:t xml:space="preserve">Validar los entregables y apoyar la ejecución de las pruebas funcionales, de usabilidad y de precisión del sistema.</w:t>
      </w:r>
    </w:p>
    <w:p>
      <w:pPr>
        <w:spacing w:after="180" w:line="300"/>
        <w:jc w:val="both"/>
      </w:pPr>
      <w:r>
        <w:rPr>
          <w:rFonts w:ascii="Cambria" w:cs="Cambria" w:eastAsia="Cambria" w:hAnsi="Cambria"/>
          <w:color w:val="1A1A1A"/>
          <w:sz w:val="24"/>
          <w:szCs w:val="24"/>
        </w:rPr>
        <w:t xml:space="preserve">Sin otro particular, quedamos atentos a cualquier requerimiento adicional y agradecemos la confianza depositada en nuestra empresa para la formación de los futuros profesionales.</w:t>
      </w:r>
    </w:p>
    <w:p>
      <w:pPr>
        <w:spacing w:after="160" w:before="300"/>
        <w:jc w:val="left"/>
      </w:pPr>
      <w:r>
        <w:rPr>
          <w:rFonts w:ascii="Cambria" w:cs="Cambria" w:eastAsia="Cambria" w:hAnsi="Cambria"/>
          <w:color w:val="1A1A1A"/>
          <w:sz w:val="24"/>
          <w:szCs w:val="24"/>
        </w:rPr>
        <w:t xml:space="preserve">Atentamente,</w:t>
      </w:r>
    </w:p>
    <w:p>
      <w:pPr>
        <w:spacing w:after="500"/>
      </w:pPr>
      <w:r>
        <w:rPr>
          <w:rFonts w:ascii="Cambria" w:cs="Cambria" w:eastAsia="Cambria" w:hAnsi="Cambria"/>
          <w:sz w:val="20"/>
          <w:szCs w:val="20"/>
        </w:rPr>
        <w:t xml:space="preserve"/>
      </w:r>
    </w:p>
    <w:p>
      <w:pPr>
        <w:spacing w:after="40"/>
      </w:pPr>
      <w:r>
        <w:rPr>
          <w:rFonts w:ascii="Cambria" w:cs="Cambria" w:eastAsia="Cambria" w:hAnsi="Cambria"/>
          <w:b/>
          <w:bCs/>
          <w:color w:val="1A1A1A"/>
          <w:sz w:val="26"/>
          <w:szCs w:val="26"/>
        </w:rPr>
        <w:t xml:space="preserve">Gonzalo Gualdrón</w:t>
      </w:r>
    </w:p>
    <w:p>
      <w:pPr>
        <w:spacing w:after="4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Supervisor de práctica profesional</w:t>
      </w:r>
    </w:p>
    <w:p>
      <w:pPr>
        <w:spacing w:after="40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Distribuciones Rosimar S.A.S.</w:t>
      </w:r>
    </w:p>
    <w:p>
      <w:r>
        <w:rPr>
          <w:rFonts w:ascii="Cambria" w:cs="Cambria" w:eastAsia="Cambria" w:hAnsi="Cambria"/>
          <w:color w:val="1A1A1A"/>
          <w:sz w:val="20"/>
          <w:szCs w:val="20"/>
        </w:rPr>
        <w:t xml:space="preserve">NIT. 901.167.955-4  ·  Barranquilla, Atlántico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color w:val="1A1A1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mbria" w:cs="Cambria" w:eastAsia="Cambria" w:hAnsi="Cambria"/>
      <w:color w:val="1F4E79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2026-09-05T13:28:37.999Z</dcterms:created>
  <dcterms:modified xsi:type="dcterms:W3CDTF">2026-09-05T13:28:38.000Z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