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Executive Summary — AUI DBFOM Wastewater Reclamation Facility</w:t>
      </w:r>
    </w:p>
    <w:p>
      <w:r>
        <w:t>Prepared by: Alborz    |    Date: 2025-09-16</w:t>
      </w:r>
    </w:p>
    <w:p>
      <w:r>
        <w:t>City level payment (on $62.0MM @ 6.75% EAR, 240 mo): $464,073.31</w:t>
      </w:r>
    </w:p>
    <w:p>
      <w:r>
        <w:t>Debt level payment (on $37.2MM @ 4.00% EAR, 240 mo): $224,025.38</w:t>
      </w:r>
    </w:p>
    <w:p>
      <w:r>
        <w:t>Month-1 O&amp;M revenue (base $325k × 1.10): $357,500.00</w:t>
      </w:r>
    </w:p>
    <w:p>
      <w:r>
        <w:t>Decision rule: proceed if annualized levered IRR ≥ AUI equity hurdle.</w:t>
      </w:r>
    </w:p>
    <w:sectPr w:rsidR="00FC693F" w:rsidRPr="0006063C" w:rsidSect="00034616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