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Aurora Utilities Inc. (AUI) — Project Description</w:t>
      </w:r>
    </w:p>
    <w:p>
      <w:r>
        <w:t>Prepared by: Alborz    |    Date: 2025-09-16</w:t>
      </w:r>
    </w:p>
    <w:p>
      <w:r>
        <w:t>DBFOM wastewater facility (Riverview, AB). Build 24 months; operate 20 years. EPC at COD $62MM.</w:t>
      </w:r>
    </w:p>
    <w:p>
      <w:r>
        <w:t>City repays via equal monthly payments at 6.75% EAR; only interest is recognized as revenue.</w:t>
      </w:r>
    </w:p>
    <w:p>
      <w:r>
        <w:t>O&amp;M billed cost-plus 10% from $325k/mo base, indexed 2%/yr.</w:t>
      </w:r>
    </w:p>
    <w:p>
      <w:r>
        <w:t>Capital structure 60% debt (4.0% EAR) / 40% equity; tax 26.5%; no IDC/DEP/WC.</w:t>
      </w:r>
    </w:p>
    <w:p>
      <w:r>
        <w:t>Workbook: Sources&amp;Uses, City receivable, Debt schedule, O&amp;M build, IS/CF/BS, FCFE/IRR, sensitivity.</w:t>
      </w:r>
    </w:p>
    <w:sectPr w:rsidR="00FC693F" w:rsidRPr="0006063C" w:rsidSect="00034616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