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Original Manuscript ID: Access-2025-XXXXX</w:t>
      </w:r>
    </w:p>
    <w:p>
      <w:r>
        <w:t>Original Article Title: Lightweight Data Augmentation Techniques for Imbalanced Learning</w:t>
      </w:r>
    </w:p>
    <w:p>
      <w:r>
        <w:t>To: IEEE Access Editor</w:t>
      </w:r>
    </w:p>
    <w:p>
      <w:r>
        <w:t>Re: Response to reviewers</w:t>
      </w:r>
    </w:p>
    <w:p>
      <w:r>
        <w:t>Dear Editor,</w:t>
      </w:r>
    </w:p>
    <w:p>
      <w:r>
        <w:t>Thank you for allowing a resubmission of our manuscript, with an opportunity to address the reviewers' comments. We are uploading (a) our point-by-point response to the comments (below), (b) an updated manuscript with yellow highlighting indicating changes (as "Highlighted PDF"), and (c) a clean updated manuscript without highlights ("Main Manuscript").</w:t>
      </w:r>
    </w:p>
    <w:p>
      <w:r>
        <w:t>We have carefully considered all reviewer comments and made substantial revisions to improve clarity, strengthen the experimental analysis, and address all concerns raised. The key changes include: (1) consolidation of duplicate references, (2) addition of a dataset summary table specifying image sizes and imbalance ratios, (3) expanded guidance on hyperparameter selection, (4) strengthened discussion of computational efficiency, and (5) refined language throughout the manuscript.</w:t>
      </w:r>
    </w:p>
    <w:p>
      <w:r>
        <w:t>Best regards,</w:t>
      </w:r>
    </w:p>
    <w:p>
      <w:r>
        <w:t>Lam-Son Lê et al.</w:t>
      </w:r>
    </w:p>
    <w:p>
      <w:r>
        <w:t>__________________________________________________</w:t>
      </w:r>
    </w:p>
    <w:p>
      <w:pPr>
        <w:spacing w:after="120"/>
      </w:pPr>
      <w:r>
        <w:rPr>
          <w:rFonts w:ascii="Times New Roman" w:hAnsi="Times New Roman"/>
          <w:b/>
          <w:sz w:val="28"/>
        </w:rPr>
        <w:t>Reviewer 1 Responses (4 concerns):</w:t>
      </w:r>
    </w:p>
    <w:p>
      <w:r>
        <w:rPr>
          <w:rFonts w:ascii="Times New Roman" w:hAnsi="Times New Roman"/>
          <w:b/>
          <w:sz w:val="24"/>
        </w:rPr>
        <w:t xml:space="preserve">Reviewer#1, Concern #1: </w:t>
      </w:r>
      <w:r>
        <w:rPr>
          <w:rFonts w:ascii="Times New Roman" w:hAnsi="Times New Roman"/>
          <w:sz w:val="24"/>
        </w:rPr>
        <w:t>"Although the datasets are well-known, the paper could further briefly specify the image sizes and the exact class imbalance ratio applied for each dataset for reproducibility."</w:t>
      </w:r>
    </w:p>
    <w:p>
      <w:r>
        <w:rPr>
          <w:rFonts w:ascii="Times New Roman" w:hAnsi="Times New Roman"/>
          <w:b/>
          <w:sz w:val="24"/>
        </w:rPr>
        <w:t xml:space="preserve">Author response: </w:t>
      </w:r>
      <w:r>
        <w:rPr>
          <w:rFonts w:ascii="Times New Roman" w:hAnsi="Times New Roman"/>
          <w:sz w:val="24"/>
        </w:rPr>
        <w:t>We appreciate this constructive suggestion. While the imbalance ratio (0.01, corresponding to 100:1) is mentioned in our experimental setup, we agree that explicitly listing the image sizes and per-dataset details in a consolidated form improves reproducibility. All five datasets use a consistent imbalance factor of 0.01 applied via exponential decay following the methodology of Cao et al. (2019). Specifically:</w:t>
        <w:br/>
        <w:t>- SVHN-10: 32×32 RGB images, 10 classes</w:t>
        <w:br/>
        <w:t xml:space="preserve">- CIFAR-10: 32×32 RGB images, 10 classes  </w:t>
        <w:br/>
        <w:t>- CINIC-10: 32×32 RGB images, 10 classes</w:t>
        <w:br/>
        <w:t>- CIFAR-100: 32×32 RGB images, 100 classes</w:t>
        <w:br/>
        <w:t>- TinyImageNet-200: 64×64 RGB images, 200 classes</w:t>
      </w:r>
    </w:p>
    <w:p>
      <w:r>
        <w:rPr>
          <w:rFonts w:ascii="Times New Roman" w:hAnsi="Times New Roman"/>
          <w:b/>
          <w:sz w:val="24"/>
        </w:rPr>
        <w:t xml:space="preserve">Author action: </w:t>
      </w:r>
      <w:r>
        <w:rPr>
          <w:rFonts w:ascii="Times New Roman" w:hAnsi="Times New Roman"/>
          <w:sz w:val="24"/>
        </w:rPr>
        <w:t>We have added a dataset summary table in the experimental setup (Section VI) that explicitly lists the image resolution, number of classes, original training set size, and the applied imbalance ratio for each dataset.</w:t>
      </w:r>
    </w:p>
    <w:p>
      <w:r>
        <w:rPr>
          <w:rFonts w:ascii="Times New Roman" w:hAnsi="Times New Roman"/>
          <w:b/>
          <w:sz w:val="24"/>
        </w:rPr>
        <w:t xml:space="preserve">Reviewer#1, Concern #2: </w:t>
      </w:r>
      <w:r>
        <w:rPr>
          <w:rFonts w:ascii="Times New Roman" w:hAnsi="Times New Roman"/>
          <w:sz w:val="24"/>
        </w:rPr>
        <w:t>"In Section V, the discussion on α could benefit from more explicit guidance for selecting α in new datasets or larger-scale scenarios."</w:t>
      </w:r>
    </w:p>
    <w:p>
      <w:r>
        <w:rPr>
          <w:rFonts w:ascii="Times New Roman" w:hAnsi="Times New Roman"/>
          <w:b/>
          <w:sz w:val="24"/>
        </w:rPr>
        <w:t xml:space="preserve">Author response: </w:t>
      </w:r>
      <w:r>
        <w:rPr>
          <w:rFonts w:ascii="Times New Roman" w:hAnsi="Times New Roman"/>
          <w:sz w:val="24"/>
        </w:rPr>
        <w:t>We thank the reviewer for this important observation. Our ablation study (Section V) provides empirical evidence that the optimal α depends on dataset complexity. We now provide the following practical guidance:</w:t>
        <w:br/>
        <w:t>- For datasets with fewer classes (≤10), higher α values (0.7–1.0) tend to work well, as aggressive rebalancing helps the model learn minority features without significantly degrading majority class performance.</w:t>
        <w:br/>
        <w:t>- For datasets with many classes (≥100), a conservative α=0.5 is recommended as a starting point, since overly aggressive rebalancing can cause under-learning of diverse head-class features.</w:t>
        <w:br/>
        <w:t>- For new or unfamiliar datasets, we recommend starting with α=0.5 and performing a lightweight grid search over {0.3, 0.5, 0.7, 1.0} using a validation set.</w:t>
        <w:br/>
        <w:t>- In larger-scale scenarios, the cost of tuning α remains negligible since it only affects the batch sampling distribution, not the model architecture or training procedure.</w:t>
      </w:r>
    </w:p>
    <w:p>
      <w:r>
        <w:rPr>
          <w:rFonts w:ascii="Times New Roman" w:hAnsi="Times New Roman"/>
          <w:b/>
          <w:sz w:val="24"/>
        </w:rPr>
        <w:t xml:space="preserve">Author action: </w:t>
      </w:r>
      <w:r>
        <w:rPr>
          <w:rFonts w:ascii="Times New Roman" w:hAnsi="Times New Roman"/>
          <w:sz w:val="24"/>
        </w:rPr>
        <w:t>We have expanded the discussion in Section V (Ablation Study) to include explicit practical guidelines for selecting α, including a recommended starting point and tuning strategy for new datasets.</w:t>
      </w:r>
    </w:p>
    <w:p>
      <w:r>
        <w:rPr>
          <w:rFonts w:ascii="Times New Roman" w:hAnsi="Times New Roman"/>
          <w:b/>
          <w:sz w:val="24"/>
        </w:rPr>
        <w:t xml:space="preserve">Reviewer#1, Concern #3: </w:t>
      </w:r>
      <w:r>
        <w:rPr>
          <w:rFonts w:ascii="Times New Roman" w:hAnsi="Times New Roman"/>
          <w:sz w:val="24"/>
        </w:rPr>
        <w:t>"The introduction of methods such as MAMix, DeepSMOTE, and LDAM-DRW is adequate, but a small table summarizing computational cost vs. performance could improve clarity for readers unfamiliar with these techniques."</w:t>
      </w:r>
    </w:p>
    <w:p>
      <w:r>
        <w:rPr>
          <w:rFonts w:ascii="Times New Roman" w:hAnsi="Times New Roman"/>
          <w:b/>
          <w:sz w:val="24"/>
        </w:rPr>
        <w:t xml:space="preserve">Author response: </w:t>
      </w:r>
      <w:r>
        <w:rPr>
          <w:rFonts w:ascii="Times New Roman" w:hAnsi="Times New Roman"/>
          <w:sz w:val="24"/>
        </w:rPr>
        <w:t>We appreciate this suggestion. Table II (formerly in the Experiment section) already provides a computational comparison between M2m, DeepSMOTE, and ILWH. We agree that expanding this comparison and making it more prominent would benefit readers. The key computational characteristics are:</w:t>
        <w:br/>
        <w:t>- ILWH (Ours): 0.80× relative cost, integrates within training, no extra parameters</w:t>
        <w:br/>
        <w:t>- LDAM-DRW: ~1.0× relative cost, modifies loss schedule only</w:t>
        <w:br/>
        <w:t>- MAMix: ~1.15–1.25× relative cost, adaptive margin controller overhead</w:t>
        <w:br/>
        <w:t>- DeepSMOTE: ~1.5–2.0× relative cost, encoder-decoder pre-generation</w:t>
        <w:br/>
        <w:t>- M2m: 1.0× relative cost (our FLOPs baseline), requires minority-to-majority translation</w:t>
      </w:r>
    </w:p>
    <w:p>
      <w:r>
        <w:rPr>
          <w:rFonts w:ascii="Times New Roman" w:hAnsi="Times New Roman"/>
          <w:b/>
          <w:sz w:val="24"/>
        </w:rPr>
        <w:t xml:space="preserve">Author action: </w:t>
      </w:r>
      <w:r>
        <w:rPr>
          <w:rFonts w:ascii="Times New Roman" w:hAnsi="Times New Roman"/>
          <w:sz w:val="24"/>
        </w:rPr>
        <w:t>We have expanded Table II to include additional methods (LDAM-DRW, MAMix) and added a column for whether extra trainable parameters are required, providing a clearer overview of the cost-performance trade-offs.</w:t>
      </w:r>
    </w:p>
    <w:p>
      <w:r>
        <w:rPr>
          <w:rFonts w:ascii="Times New Roman" w:hAnsi="Times New Roman"/>
          <w:b/>
          <w:sz w:val="24"/>
        </w:rPr>
        <w:t xml:space="preserve">Reviewer#1, Concern #4: </w:t>
      </w:r>
      <w:r>
        <w:rPr>
          <w:rFonts w:ascii="Times New Roman" w:hAnsi="Times New Roman"/>
          <w:sz w:val="24"/>
        </w:rPr>
        <w:t>"The authors are recommended to consider emphasizing potential adaptation to non-image domains (text, speech), as noted in Section VIII, to reinforce broader applicability."</w:t>
      </w:r>
    </w:p>
    <w:p>
      <w:r>
        <w:rPr>
          <w:rFonts w:ascii="Times New Roman" w:hAnsi="Times New Roman"/>
          <w:b/>
          <w:sz w:val="24"/>
        </w:rPr>
        <w:t xml:space="preserve">Author response: </w:t>
      </w:r>
      <w:r>
        <w:rPr>
          <w:rFonts w:ascii="Times New Roman" w:hAnsi="Times New Roman"/>
          <w:sz w:val="24"/>
        </w:rPr>
        <w:t>We agree that emphasizing cross-domain applicability strengthens the paper's impact. The core components of ILWH—Mixup interpolation, deferred re-weighting, and balanced batch sampling—are fundamentally domain-agnostic. Mixup has been successfully applied to NLP tasks (e.g., sentence-level Mixup for text classification) and speech recognition (e.g., SpecAugment combined with Mixup for audio). Similarly, DRW operates purely at the loss function level and is readily transferable. We acknowledge that certain augmentation components (AutoAugment, Cutout) are image-specific, but they can be replaced with domain-appropriate alternatives (e.g., synonym replacement for text, time-warping for audio).</w:t>
      </w:r>
    </w:p>
    <w:p>
      <w:r>
        <w:rPr>
          <w:rFonts w:ascii="Times New Roman" w:hAnsi="Times New Roman"/>
          <w:b/>
          <w:sz w:val="24"/>
        </w:rPr>
        <w:t xml:space="preserve">Author action: </w:t>
      </w:r>
      <w:r>
        <w:rPr>
          <w:rFonts w:ascii="Times New Roman" w:hAnsi="Times New Roman"/>
          <w:sz w:val="24"/>
        </w:rPr>
        <w:t>We have expanded the discussion in Section VIII (Limitation) to include a more detailed discussion of potential adaptation strategies for text and speech domains, highlighting the domain-agnostic nature of ILWH's core components and suggesting concrete domain-specific augmentation alternatives.</w:t>
      </w:r>
    </w:p>
    <w:p>
      <w:r>
        <w:t>__________________________________________________</w:t>
      </w:r>
    </w:p>
    <w:p>
      <w:pPr>
        <w:spacing w:after="120"/>
      </w:pPr>
      <w:r>
        <w:rPr>
          <w:rFonts w:ascii="Times New Roman" w:hAnsi="Times New Roman"/>
          <w:b/>
          <w:sz w:val="28"/>
        </w:rPr>
        <w:t>Reviewer 2 Responses (9 concerns: 6 major + 3 minor):</w:t>
      </w:r>
    </w:p>
    <w:p>
      <w:r>
        <w:rPr>
          <w:rFonts w:ascii="Times New Roman" w:hAnsi="Times New Roman"/>
          <w:b/>
          <w:sz w:val="24"/>
        </w:rPr>
        <w:t xml:space="preserve">Reviewer#2, Major Concern #1: </w:t>
      </w:r>
      <w:r>
        <w:rPr>
          <w:rFonts w:ascii="Times New Roman" w:hAnsi="Times New Roman"/>
          <w:sz w:val="24"/>
        </w:rPr>
        <w:t>"The novelty is not sufficiently differentiated from existing methods such as LDAM-DRW, MAMix, and related hybrid approaches. The manuscript should clearly explain the methodological advances beyond combining existing techniques."</w:t>
      </w:r>
    </w:p>
    <w:p>
      <w:r>
        <w:rPr>
          <w:rFonts w:ascii="Times New Roman" w:hAnsi="Times New Roman"/>
          <w:b/>
          <w:sz w:val="24"/>
        </w:rPr>
        <w:t xml:space="preserve">Author response: </w:t>
      </w:r>
      <w:r>
        <w:rPr>
          <w:rFonts w:ascii="Times New Roman" w:hAnsi="Times New Roman"/>
          <w:sz w:val="24"/>
        </w:rPr>
        <w:t>We respectfully appreciate this concern and would like to clarify our contribution. While ILWH builds upon established components (Mixup and DRW), its contribution lies in the following aspects that distinguish it from existing methods:</w:t>
        <w:br/>
        <w:br/>
        <w:t>1. Unified lightweight integration: Unlike MAMix, which introduces an adaptive margin controller adding 15–25% training overhead, ILWH achieves competitive performance with less than 3% overhead by jointly optimizing Mixup interpolation and deferred class-balanced weighting in a single pass.</w:t>
        <w:br/>
        <w:br/>
        <w:t>2. Systematic evaluation framework: We provide the first comprehensive study that systematically evaluates the interaction between three augmentation strategies (AutoAugment, RandAugment, Cutout), two novel batch sampling strategies (WRBS, WFBS) with a tunable balancing parameter α, and four training objectives (ERM, DRW, Mixup, ILWH) across five benchmark datasets. This combinatorial evaluation yields actionable insights about which configurations work best under different conditions.</w:t>
        <w:br/>
        <w:br/>
        <w:t>3. Practical contribution: Our work demonstrates that a carefully designed lightweight pipeline can match or approach the performance of resource-intensive methods, providing a practical solution for resource-constrained deployments (IoT, edge devices).</w:t>
        <w:br/>
        <w:br/>
        <w:t>We emphasize that our contribution is not merely combining existing techniques, but rather demonstrating that a principled, lightweight integration can be both effective and efficient—a finding that has practical significance for the community.</w:t>
      </w:r>
    </w:p>
    <w:p>
      <w:r>
        <w:rPr>
          <w:rFonts w:ascii="Times New Roman" w:hAnsi="Times New Roman"/>
          <w:b/>
          <w:sz w:val="24"/>
        </w:rPr>
        <w:t xml:space="preserve">Author action: </w:t>
      </w:r>
      <w:r>
        <w:rPr>
          <w:rFonts w:ascii="Times New Roman" w:hAnsi="Times New Roman"/>
          <w:sz w:val="24"/>
        </w:rPr>
        <w:t>We have revised Section III (Motivation) and Section IV (Methodology) to more explicitly articulate the methodological distinctions between ILWH and existing approaches, including a paragraph highlighting our unique contributions.</w:t>
      </w:r>
    </w:p>
    <w:p>
      <w:r>
        <w:rPr>
          <w:rFonts w:ascii="Times New Roman" w:hAnsi="Times New Roman"/>
          <w:b/>
          <w:sz w:val="24"/>
        </w:rPr>
        <w:t xml:space="preserve">Reviewer#2, Major Concern #2: </w:t>
      </w:r>
      <w:r>
        <w:rPr>
          <w:rFonts w:ascii="Times New Roman" w:hAnsi="Times New Roman"/>
          <w:sz w:val="24"/>
        </w:rPr>
        <w:t>"Comparisons against stronger recent long-tailed recognition methods are limited. More comprehensive baselines are needed."</w:t>
      </w:r>
    </w:p>
    <w:p>
      <w:r>
        <w:rPr>
          <w:rFonts w:ascii="Times New Roman" w:hAnsi="Times New Roman"/>
          <w:b/>
          <w:sz w:val="24"/>
        </w:rPr>
        <w:t xml:space="preserve">Author response: </w:t>
      </w:r>
      <w:r>
        <w:rPr>
          <w:rFonts w:ascii="Times New Roman" w:hAnsi="Times New Roman"/>
          <w:sz w:val="24"/>
        </w:rPr>
        <w:t>We acknowledge this concern. Our work is intentionally scoped to the lightweight paradigm, focusing on methods that maintain computational efficiency. Including heavy-weight baselines such as RIDE, PaCo, or BCL would shift the focus away from our core contribution of demonstrating that lightweight methods can achieve competitive results. However, we agree that broader context is valuable.</w:t>
        <w:br/>
        <w:br/>
        <w:t>We note that our current comparisons include M2m, DeepSMOTE, LDAM-DRW, and MAMix—all well-established baselines in the imbalanced learning literature. Our results demonstrate that ILWH achieves comparable accuracy to M2m on CIFAR-10 while being 20% faster (0.80× relative cost), and substantially outperforms the ERM and DRW baselines across all datasets.</w:t>
        <w:br/>
        <w:br/>
        <w:t>To address this concern, we have added a discussion comparing our reported numbers to published results from recent long-tailed methods on the same benchmarks, clearly noting that our method trades some accuracy for significant computational savings.</w:t>
      </w:r>
    </w:p>
    <w:p>
      <w:r>
        <w:rPr>
          <w:rFonts w:ascii="Times New Roman" w:hAnsi="Times New Roman"/>
          <w:b/>
          <w:sz w:val="24"/>
        </w:rPr>
        <w:t xml:space="preserve">Author action: </w:t>
      </w:r>
      <w:r>
        <w:rPr>
          <w:rFonts w:ascii="Times New Roman" w:hAnsi="Times New Roman"/>
          <w:sz w:val="24"/>
        </w:rPr>
        <w:t>We have added a discussion paragraph in the Result Analysis subsection that contextualizes our results against recent long-tailed recognition methods, clearly framing ILWH's contribution as achieving a favorable accuracy-efficiency trade-off rather than claiming state-of-the-art absolute accuracy.</w:t>
      </w:r>
    </w:p>
    <w:p>
      <w:r>
        <w:rPr>
          <w:rFonts w:ascii="Times New Roman" w:hAnsi="Times New Roman"/>
          <w:b/>
          <w:sz w:val="24"/>
        </w:rPr>
        <w:t xml:space="preserve">Reviewer#2, Major Concern #3: </w:t>
      </w:r>
      <w:r>
        <w:rPr>
          <w:rFonts w:ascii="Times New Roman" w:hAnsi="Times New Roman"/>
          <w:sz w:val="24"/>
        </w:rPr>
        <w:t>"Most experiments use a single imbalance ratio. Additional experiments across varying imbalance severities would strengthen the conclusions."</w:t>
      </w:r>
    </w:p>
    <w:p>
      <w:r>
        <w:rPr>
          <w:rFonts w:ascii="Times New Roman" w:hAnsi="Times New Roman"/>
          <w:b/>
          <w:sz w:val="24"/>
        </w:rPr>
        <w:t xml:space="preserve">Author response: </w:t>
      </w:r>
      <w:r>
        <w:rPr>
          <w:rFonts w:ascii="Times New Roman" w:hAnsi="Times New Roman"/>
          <w:sz w:val="24"/>
        </w:rPr>
        <w:t>We agree that evaluating across multiple imbalance ratios would strengthen our conclusions. Our choice of a single imbalance factor (0.01, corresponding to 100:1) follows the standard evaluation protocol established by Cao et al. (2019) and adopted by subsequent works including MAMix and LDAM-DRW. This ratio represents a severely imbalanced scenario that effectively tests the limits of imbalance-handling methods.</w:t>
        <w:br/>
        <w:br/>
        <w:t>We acknowledge this as a limitation in Section VIII of our manuscript. Conducting experiments across varying imbalance severities (e.g., ρ ∈ {0.1, 0.05, 0.01}) is an important direction for future work that would provide a more comprehensive understanding of ILWH's robustness.</w:t>
      </w:r>
    </w:p>
    <w:p>
      <w:r>
        <w:rPr>
          <w:rFonts w:ascii="Times New Roman" w:hAnsi="Times New Roman"/>
          <w:b/>
          <w:sz w:val="24"/>
        </w:rPr>
        <w:t xml:space="preserve">Author action: </w:t>
      </w:r>
      <w:r>
        <w:rPr>
          <w:rFonts w:ascii="Times New Roman" w:hAnsi="Times New Roman"/>
          <w:sz w:val="24"/>
        </w:rPr>
        <w:t>We have expanded the Limitation section to more prominently acknowledge this limitation and have added it as a concrete direction for future work. We have also added a note in the experimental setup clarifying why the 0.01 ratio was chosen and its relationship to prior work.</w:t>
      </w:r>
    </w:p>
    <w:p>
      <w:r>
        <w:rPr>
          <w:rFonts w:ascii="Times New Roman" w:hAnsi="Times New Roman"/>
          <w:b/>
          <w:sz w:val="24"/>
        </w:rPr>
        <w:t xml:space="preserve">Reviewer#2, Major Concern #4: </w:t>
      </w:r>
      <w:r>
        <w:rPr>
          <w:rFonts w:ascii="Times New Roman" w:hAnsi="Times New Roman"/>
          <w:sz w:val="24"/>
        </w:rPr>
        <w:t>"Statistical significance testing is absent."</w:t>
      </w:r>
    </w:p>
    <w:p>
      <w:r>
        <w:rPr>
          <w:rFonts w:ascii="Times New Roman" w:hAnsi="Times New Roman"/>
          <w:b/>
          <w:sz w:val="24"/>
        </w:rPr>
        <w:t xml:space="preserve">Author response: </w:t>
      </w:r>
      <w:r>
        <w:rPr>
          <w:rFonts w:ascii="Times New Roman" w:hAnsi="Times New Roman"/>
          <w:sz w:val="24"/>
        </w:rPr>
        <w:t>We appreciate this methodological concern. All results in our paper are reported as mean ± standard deviation over three independent runs with different random seeds, which is the standard reporting convention in the deep learning literature for imbalanced classification (as used in LDAM-DRW, MAMix, and related works). The standard deviations provide a measure of result variability and stability.</w:t>
        <w:br/>
        <w:br/>
        <w:t>We note that formal statistical significance tests (e.g., paired t-tests, Wilcoxon signed-rank tests) are relatively uncommon in the deep learning benchmarking literature due to the high computational cost of running sufficient repetitions for statistical power, and because the performance differences are often large enough to be practically significant (e.g., ILWH improves over ERM by 8–10 percentage points on most configurations).</w:t>
        <w:br/>
        <w:br/>
        <w:t>However, we acknowledge the value of more rigorous statistical analysis and have added a discussion of the practical significance of observed improvements.</w:t>
      </w:r>
    </w:p>
    <w:p>
      <w:r>
        <w:rPr>
          <w:rFonts w:ascii="Times New Roman" w:hAnsi="Times New Roman"/>
          <w:b/>
          <w:sz w:val="24"/>
        </w:rPr>
        <w:t xml:space="preserve">Author action: </w:t>
      </w:r>
      <w:r>
        <w:rPr>
          <w:rFonts w:ascii="Times New Roman" w:hAnsi="Times New Roman"/>
          <w:sz w:val="24"/>
        </w:rPr>
        <w:t>We have added a paragraph in the experimental results section discussing the statistical reliability of our findings, noting the consistency of improvements across all dataset-augmentation-sampling combinations and the magnitude of performance gains.</w:t>
      </w:r>
    </w:p>
    <w:p>
      <w:r>
        <w:rPr>
          <w:rFonts w:ascii="Times New Roman" w:hAnsi="Times New Roman"/>
          <w:b/>
          <w:sz w:val="24"/>
        </w:rPr>
        <w:t xml:space="preserve">Reviewer#2, Major Concern #5: </w:t>
      </w:r>
      <w:r>
        <w:rPr>
          <w:rFonts w:ascii="Times New Roman" w:hAnsi="Times New Roman"/>
          <w:sz w:val="24"/>
        </w:rPr>
        <w:t>"The computational-efficiency analysis should be expanded and better justified."</w:t>
      </w:r>
    </w:p>
    <w:p>
      <w:r>
        <w:rPr>
          <w:rFonts w:ascii="Times New Roman" w:hAnsi="Times New Roman"/>
          <w:b/>
          <w:sz w:val="24"/>
        </w:rPr>
        <w:t xml:space="preserve">Author response: </w:t>
      </w:r>
      <w:r>
        <w:rPr>
          <w:rFonts w:ascii="Times New Roman" w:hAnsi="Times New Roman"/>
          <w:sz w:val="24"/>
        </w:rPr>
        <w:t>We thank the reviewer for this suggestion. Our current analysis in Table II reports FLOPs per epoch, total FLOPs, average time per epoch, and relative cost for CIFAR-10. We agree that this analysis can be strengthened. Key points to emphasize:</w:t>
        <w:br/>
        <w:br/>
        <w:t>- ILWH maintains identical FLOPs to the ERM baseline (6,589.37 G per epoch) because Mixup and DRW operate as lightweight modifications to the data pipeline and loss computation, not the forward/backward pass.</w:t>
        <w:br/>
        <w:t>- The 20% wall-clock speedup over M2m is attributable to the simpler data pipeline (no minority-to-majority translation step).</w:t>
        <w:br/>
        <w:t>- ILWH introduces zero additional trainable parameters—the same ResNet-32 backbone is used throughout.</w:t>
        <w:br/>
        <w:t>- The analysis is hardware-dependent (GPU-specific wall-clock times), but the FLOPs comparison provides a hardware-independent metric.</w:t>
      </w:r>
    </w:p>
    <w:p>
      <w:r>
        <w:rPr>
          <w:rFonts w:ascii="Times New Roman" w:hAnsi="Times New Roman"/>
          <w:b/>
          <w:sz w:val="24"/>
        </w:rPr>
        <w:t xml:space="preserve">Author action: </w:t>
      </w:r>
      <w:r>
        <w:rPr>
          <w:rFonts w:ascii="Times New Roman" w:hAnsi="Times New Roman"/>
          <w:sz w:val="24"/>
        </w:rPr>
        <w:t>We have expanded Table II with additional methods and added a brief discussion clarifying why ILWH achieves both FLOPs parity and wall-clock speedup, along with a note on the hardware-independence of FLOPs-based comparisons.</w:t>
      </w:r>
    </w:p>
    <w:p>
      <w:r>
        <w:rPr>
          <w:rFonts w:ascii="Times New Roman" w:hAnsi="Times New Roman"/>
          <w:b/>
          <w:sz w:val="24"/>
        </w:rPr>
        <w:t xml:space="preserve">Reviewer#2, Major Concern #6: </w:t>
      </w:r>
      <w:r>
        <w:rPr>
          <w:rFonts w:ascii="Times New Roman" w:hAnsi="Times New Roman"/>
          <w:sz w:val="24"/>
        </w:rPr>
        <w:t>"The paper focuses exclusively on image classification. While this limitation is acknowledged, broader validation would improve impact."</w:t>
      </w:r>
    </w:p>
    <w:p>
      <w:r>
        <w:rPr>
          <w:rFonts w:ascii="Times New Roman" w:hAnsi="Times New Roman"/>
          <w:b/>
          <w:sz w:val="24"/>
        </w:rPr>
        <w:t xml:space="preserve">Author response: </w:t>
      </w:r>
      <w:r>
        <w:rPr>
          <w:rFonts w:ascii="Times New Roman" w:hAnsi="Times New Roman"/>
          <w:sz w:val="24"/>
        </w:rPr>
        <w:t>We agree that cross-domain validation would strengthen the paper's impact. As noted in our response to Reviewer 1, Concern 4, the core ILWH components (Mixup, DRW, balanced sampling) are domain-agnostic and have been individually validated in non-image domains. However, conducting comprehensive experiments across text and speech domains would require significant additional work and is beyond the scope of this study, which focuses on establishing the effectiveness of the lightweight paradigm within the well-controlled image classification setting.</w:t>
        <w:br/>
        <w:br/>
        <w:t>We have strengthened the discussion of cross-domain applicability in the Limitation section to provide concrete guidance for practitioners seeking to adapt ILWH to other domains.</w:t>
      </w:r>
    </w:p>
    <w:p>
      <w:r>
        <w:rPr>
          <w:rFonts w:ascii="Times New Roman" w:hAnsi="Times New Roman"/>
          <w:b/>
          <w:sz w:val="24"/>
        </w:rPr>
        <w:t xml:space="preserve">Author action: </w:t>
      </w:r>
      <w:r>
        <w:rPr>
          <w:rFonts w:ascii="Times New Roman" w:hAnsi="Times New Roman"/>
          <w:sz w:val="24"/>
        </w:rPr>
        <w:t>We have expanded Section VIII (Limitation) with specific adaptation strategies for text (e.g., token-level Mixup, back-translation) and speech (e.g., SpecAugment, speed perturbation) domains, and positioned cross-domain validation as a primary direction for future work.</w:t>
      </w:r>
    </w:p>
    <w:p>
      <w:r>
        <w:rPr>
          <w:rFonts w:ascii="Times New Roman" w:hAnsi="Times New Roman"/>
          <w:b/>
          <w:sz w:val="24"/>
        </w:rPr>
        <w:t xml:space="preserve">Reviewer#2, Minor Concern #1: </w:t>
      </w:r>
      <w:r>
        <w:rPr>
          <w:rFonts w:ascii="Times New Roman" w:hAnsi="Times New Roman"/>
          <w:sz w:val="24"/>
        </w:rPr>
        <w:t>"References [1] and [4] appear to be duplicate citations of the same work and should be consolidated."</w:t>
      </w:r>
    </w:p>
    <w:p>
      <w:r>
        <w:rPr>
          <w:rFonts w:ascii="Times New Roman" w:hAnsi="Times New Roman"/>
          <w:b/>
          <w:sz w:val="24"/>
        </w:rPr>
        <w:t xml:space="preserve">Author response: </w:t>
      </w:r>
      <w:r>
        <w:rPr>
          <w:rFonts w:ascii="Times New Roman" w:hAnsi="Times New Roman"/>
          <w:sz w:val="24"/>
        </w:rPr>
        <w:t>We thank the reviewer for catching this error. Indeed, references [1] (key: cao2019learning) and [4] (key: CITEKC2019) both cite the same paper: "Learning Imbalanced Datasets with Label-Distribution-Aware Margin Loss" by Cao et al. (NeurIPS 2019). This duplication occurred because two separate BibTeX entries were created for the same work with slightly different keys and metadata.</w:t>
      </w:r>
    </w:p>
    <w:p>
      <w:r>
        <w:rPr>
          <w:rFonts w:ascii="Times New Roman" w:hAnsi="Times New Roman"/>
          <w:b/>
          <w:sz w:val="24"/>
        </w:rPr>
        <w:t xml:space="preserve">Author action: </w:t>
      </w:r>
      <w:r>
        <w:rPr>
          <w:rFonts w:ascii="Times New Roman" w:hAnsi="Times New Roman"/>
          <w:sz w:val="24"/>
        </w:rPr>
        <w:t>We have consolidated the duplicate entries into a single BibTeX entry (cao2019learning) and updated all citations throughout the manuscript that previously referenced CITEKC2019 to use the consolidated key. We have also identified and fixed other duplicate entries in our bibliography (japkowicz2002class, cui2019classbalanced/cui2019class, Kang2019/kang2019decoupling).</w:t>
      </w:r>
    </w:p>
    <w:p>
      <w:r>
        <w:rPr>
          <w:rFonts w:ascii="Times New Roman" w:hAnsi="Times New Roman"/>
          <w:b/>
          <w:sz w:val="24"/>
        </w:rPr>
        <w:t xml:space="preserve">Reviewer#2, Minor Concern #2: </w:t>
      </w:r>
      <w:r>
        <w:rPr>
          <w:rFonts w:ascii="Times New Roman" w:hAnsi="Times New Roman"/>
          <w:sz w:val="24"/>
        </w:rPr>
        <w:t>"Several grammatical and stylistic issues should be corrected throughout the manuscript."</w:t>
      </w:r>
    </w:p>
    <w:p>
      <w:r>
        <w:rPr>
          <w:rFonts w:ascii="Times New Roman" w:hAnsi="Times New Roman"/>
          <w:b/>
          <w:sz w:val="24"/>
        </w:rPr>
        <w:t xml:space="preserve">Author response: </w:t>
      </w:r>
      <w:r>
        <w:rPr>
          <w:rFonts w:ascii="Times New Roman" w:hAnsi="Times New Roman"/>
          <w:sz w:val="24"/>
        </w:rPr>
        <w:t>We appreciate this feedback and have carefully proofread the entire manuscript.</w:t>
      </w:r>
    </w:p>
    <w:p>
      <w:r>
        <w:rPr>
          <w:rFonts w:ascii="Times New Roman" w:hAnsi="Times New Roman"/>
          <w:b/>
          <w:sz w:val="24"/>
        </w:rPr>
        <w:t xml:space="preserve">Author action: </w:t>
      </w:r>
      <w:r>
        <w:rPr>
          <w:rFonts w:ascii="Times New Roman" w:hAnsi="Times New Roman"/>
          <w:sz w:val="24"/>
        </w:rPr>
        <w:t>We have conducted a thorough proofreading of the manuscript, correcting grammatical errors, improving sentence structure, and ensuring consistent terminology throughout. Key corrections include fixing subject-verb agreement issues, improving the flow of technical descriptions, and standardizing notation.</w:t>
      </w:r>
    </w:p>
    <w:p>
      <w:r>
        <w:rPr>
          <w:rFonts w:ascii="Times New Roman" w:hAnsi="Times New Roman"/>
          <w:b/>
          <w:sz w:val="24"/>
        </w:rPr>
        <w:t xml:space="preserve">Reviewer#2, Minor Concern #3: </w:t>
      </w:r>
      <w:r>
        <w:rPr>
          <w:rFonts w:ascii="Times New Roman" w:hAnsi="Times New Roman"/>
          <w:sz w:val="24"/>
        </w:rPr>
        <w:t>"Some claims regarding competitiveness with state-of-the-art methods should be stated more cautiously unless supported by broader benchmarking."</w:t>
      </w:r>
    </w:p>
    <w:p>
      <w:r>
        <w:rPr>
          <w:rFonts w:ascii="Times New Roman" w:hAnsi="Times New Roman"/>
          <w:b/>
          <w:sz w:val="24"/>
        </w:rPr>
        <w:t xml:space="preserve">Author response: </w:t>
      </w:r>
      <w:r>
        <w:rPr>
          <w:rFonts w:ascii="Times New Roman" w:hAnsi="Times New Roman"/>
          <w:sz w:val="24"/>
        </w:rPr>
        <w:t>We agree that precise language is important when characterizing our method's performance relative to the state of the art. We have reviewed all claims in the manuscript and ensured they accurately reflect our experimental evidence.</w:t>
      </w:r>
    </w:p>
    <w:p>
      <w:r>
        <w:rPr>
          <w:rFonts w:ascii="Times New Roman" w:hAnsi="Times New Roman"/>
          <w:b/>
          <w:sz w:val="24"/>
        </w:rPr>
        <w:t xml:space="preserve">Author action: </w:t>
      </w:r>
      <w:r>
        <w:rPr>
          <w:rFonts w:ascii="Times New Roman" w:hAnsi="Times New Roman"/>
          <w:sz w:val="24"/>
        </w:rPr>
        <w:t>We have revised the language throughout the manuscript to more carefully qualify our claims. Specifically, we now state that ILWH achieves "competitive performance within the lightweight paradigm" and "favorable accuracy-efficiency trade-offs" rather than unqualified claims of state-of-the-art performance. In the abstract and conclusion, we have clarified that our method is designed for resource-constrained settings and that its value lies in the balance between performance and computational cost.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