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w:rPr>
          <w:rFonts w:ascii="Times Roman" w:cs="Times Roman" w:hAnsi="Times Roman" w:eastAsia="Times Roman"/>
          <w:b w:val="1"/>
          <w:bCs w:val="1"/>
          <w:sz w:val="28"/>
          <w:szCs w:val="28"/>
        </w:rPr>
      </w:pPr>
      <w:r>
        <w:rPr>
          <w:rFonts w:ascii="Times Roman" w:hAnsi="Times Roman"/>
          <w:b w:val="1"/>
          <w:bCs w:val="1"/>
          <w:sz w:val="28"/>
          <w:szCs w:val="28"/>
          <w:rtl w:val="0"/>
          <w:lang w:val="it-IT"/>
        </w:rPr>
        <w:t xml:space="preserve">Tassa UE sul gioco online: il nodo </w:t>
      </w:r>
      <w:r>
        <w:rPr>
          <w:rFonts w:ascii="Times Roman" w:hAnsi="Times Roman" w:hint="default"/>
          <w:b w:val="1"/>
          <w:bCs w:val="1"/>
          <w:sz w:val="28"/>
          <w:szCs w:val="28"/>
          <w:rtl w:val="0"/>
          <w:lang w:val="it-IT"/>
        </w:rPr>
        <w:t xml:space="preserve">è </w:t>
      </w:r>
      <w:r>
        <w:rPr>
          <w:rFonts w:ascii="Times Roman" w:hAnsi="Times Roman"/>
          <w:b w:val="1"/>
          <w:bCs w:val="1"/>
          <w:sz w:val="28"/>
          <w:szCs w:val="28"/>
          <w:rtl w:val="0"/>
          <w:lang w:val="it-IT"/>
        </w:rPr>
        <w:t>la base imponibile</w:t>
      </w:r>
      <w:r>
        <w:rPr>
          <w:rFonts w:ascii="Times Roman" w:hAnsi="Times Roman"/>
          <w:b w:val="1"/>
          <w:bCs w:val="1"/>
          <w:sz w:val="28"/>
          <w:szCs w:val="28"/>
          <w:rtl w:val="0"/>
          <w:lang w:val="it-IT"/>
        </w:rPr>
        <w:t xml:space="preserve">. </w:t>
      </w:r>
      <w:r>
        <w:rPr>
          <w:rFonts w:ascii="Times Roman" w:hAnsi="Times Roman"/>
          <w:b w:val="1"/>
          <w:bCs w:val="1"/>
          <w:sz w:val="28"/>
          <w:szCs w:val="28"/>
          <w:rtl w:val="0"/>
          <w:lang w:val="en-US"/>
        </w:rPr>
        <w:t xml:space="preserve">GIOCO &amp; BUSINESS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it-IT"/>
        </w:rPr>
        <w:t>Newsletter Jamma.it</w:t>
      </w:r>
    </w:p>
    <w:p>
      <w:pPr>
        <w:pStyle w:val="Corpo"/>
        <w:rPr>
          <w:rFonts w:ascii="Times Roman" w:cs="Times Roman" w:hAnsi="Times Roman" w:eastAsia="Times Roman"/>
        </w:rPr>
      </w:pPr>
      <w:r>
        <w:rPr>
          <w:rFonts w:ascii="Times Roman" w:hAnsi="Times Roman"/>
          <w:rtl w:val="0"/>
          <w:lang w:val="it-IT"/>
        </w:rPr>
        <w:t xml:space="preserve">La tassa UE sul gioco online resta fuori dalla bozza su cui i governi negoziano il bilancio dal 2028 al 2034. La negotiating box presentata sabato 10 ottobre dalla presidenza irlandese elenca altre nuove risorse proprie e non la contiene, e i relatori del Parlamento europeo hanno commentato che sulle nuove risorse proprie nessuna delle loro proposte </w:t>
      </w:r>
      <w:r>
        <w:rPr>
          <w:rFonts w:ascii="Times Roman" w:hAnsi="Times Roman" w:hint="default"/>
          <w:rtl w:val="0"/>
          <w:lang w:val="it-IT"/>
        </w:rPr>
        <w:t xml:space="preserve">è </w:t>
      </w:r>
      <w:r>
        <w:rPr>
          <w:rFonts w:ascii="Times Roman" w:hAnsi="Times Roman"/>
          <w:rtl w:val="0"/>
          <w:lang w:val="it-IT"/>
        </w:rPr>
        <w:t xml:space="preserve">stata accolta. In Italia la vicenda </w:t>
      </w:r>
      <w:r>
        <w:rPr>
          <w:rFonts w:ascii="Times Roman" w:hAnsi="Times Roman" w:hint="default"/>
          <w:rtl w:val="0"/>
          <w:lang w:val="it-IT"/>
        </w:rPr>
        <w:t xml:space="preserve">è </w:t>
      </w:r>
      <w:r>
        <w:rPr>
          <w:rFonts w:ascii="Times Roman" w:hAnsi="Times Roman"/>
          <w:rtl w:val="0"/>
          <w:lang w:val="it-IT"/>
        </w:rPr>
        <w:t xml:space="preserve">stata letta come una partita di aliquote e di miliardi, con il conto di chi </w:t>
      </w:r>
      <w:r>
        <w:rPr>
          <w:rFonts w:ascii="Times Roman" w:hAnsi="Times Roman" w:hint="default"/>
          <w:rtl w:val="0"/>
          <w:lang w:val="it-IT"/>
        </w:rPr>
        <w:t xml:space="preserve">è </w:t>
      </w:r>
      <w:r>
        <w:rPr>
          <w:rFonts w:ascii="Times Roman" w:hAnsi="Times Roman"/>
          <w:rtl w:val="0"/>
          <w:lang w:val="it-IT"/>
        </w:rPr>
        <w:t>favorevole e di chi frena. Il documento tecnico da cui vengono quelle cifre chiede per</w:t>
      </w:r>
      <w:r>
        <w:rPr>
          <w:rFonts w:ascii="Times Roman" w:hAnsi="Times Roman" w:hint="default"/>
          <w:rtl w:val="0"/>
          <w:lang w:val="it-IT"/>
        </w:rPr>
        <w:t xml:space="preserve">ò </w:t>
      </w:r>
      <w:r>
        <w:rPr>
          <w:rFonts w:ascii="Times Roman" w:hAnsi="Times Roman"/>
          <w:rtl w:val="0"/>
          <w:lang w:val="it-IT"/>
        </w:rPr>
        <w:t>un'altra cosa, prima di qualsiasi aliquota: una base imponibile europea, cio</w:t>
      </w:r>
      <w:r>
        <w:rPr>
          <w:rFonts w:ascii="Times Roman" w:hAnsi="Times Roman" w:hint="default"/>
          <w:rtl w:val="0"/>
          <w:lang w:val="it-IT"/>
        </w:rPr>
        <w:t xml:space="preserve">è </w:t>
      </w:r>
      <w:r>
        <w:rPr>
          <w:rFonts w:ascii="Times Roman" w:hAnsi="Times Roman"/>
          <w:rtl w:val="0"/>
          <w:lang w:val="it-IT"/>
        </w:rPr>
        <w:t>una definizione comune di che cosa si tassa quando si tassa il gioco online.</w:t>
      </w:r>
    </w:p>
    <w:p>
      <w:pPr>
        <w:pStyle w:val="Corpo"/>
        <w:rPr>
          <w:rFonts w:ascii="Times Roman" w:cs="Times Roman" w:hAnsi="Times Roman" w:eastAsia="Times Roman"/>
        </w:rPr>
      </w:pPr>
      <w:r>
        <w:rPr>
          <w:rFonts w:ascii="Times Roman" w:hAnsi="Times Roman"/>
          <w:rtl w:val="0"/>
          <w:lang w:val="it-IT"/>
        </w:rPr>
        <w:t>Nell'Unione manca una disciplina armonizzata delle imposte specifiche sul gioco, che sono rimaste competenza nazionale. Per un concessionario italiano una base comune pu</w:t>
      </w:r>
      <w:r>
        <w:rPr>
          <w:rFonts w:ascii="Times Roman" w:hAnsi="Times Roman" w:hint="default"/>
          <w:rtl w:val="0"/>
          <w:lang w:val="it-IT"/>
        </w:rPr>
        <w:t xml:space="preserve">ò </w:t>
      </w:r>
      <w:r>
        <w:rPr>
          <w:rFonts w:ascii="Times Roman" w:hAnsi="Times Roman"/>
          <w:rtl w:val="0"/>
          <w:lang w:val="it-IT"/>
        </w:rPr>
        <w:t xml:space="preserve">essere un'occasione, a una condizione: che prenda come riferimento il margine, il GGR, e non la puntata. La stessa fiche che la propone fa i conti sul fatturato netto, una grandezza che non mette a confronto con il GGR, quindi la partita </w:t>
      </w:r>
      <w:r>
        <w:rPr>
          <w:rFonts w:ascii="Times Roman" w:hAnsi="Times Roman" w:hint="default"/>
          <w:rtl w:val="0"/>
          <w:lang w:val="it-IT"/>
        </w:rPr>
        <w:t xml:space="preserve">è </w:t>
      </w:r>
      <w:r>
        <w:rPr>
          <w:rFonts w:ascii="Times Roman" w:hAnsi="Times Roman"/>
          <w:rtl w:val="0"/>
          <w:lang w:val="it-IT"/>
        </w:rPr>
        <w:t>aperta.</w:t>
      </w:r>
    </w:p>
    <w:p>
      <w:pPr>
        <w:pStyle w:val="Corpo"/>
        <w:rPr>
          <w:rFonts w:ascii="Times Roman" w:cs="Times Roman" w:hAnsi="Times Roman" w:eastAsia="Times Roman"/>
          <w:b w:val="1"/>
          <w:bCs w:val="1"/>
        </w:rPr>
      </w:pPr>
      <w:r>
        <w:rPr>
          <w:rFonts w:ascii="Times Roman" w:hAnsi="Times Roman"/>
          <w:b w:val="1"/>
          <w:bCs w:val="1"/>
          <w:rtl w:val="0"/>
          <w:lang w:val="it-IT"/>
        </w:rPr>
        <w:t>Tassa UE sul gioco online: le ipotesi del documento della Commissione</w:t>
      </w:r>
    </w:p>
    <w:p>
      <w:pPr>
        <w:pStyle w:val="Corpo"/>
        <w:rPr>
          <w:rFonts w:ascii="Times Roman" w:cs="Times Roman" w:hAnsi="Times Roman" w:eastAsia="Times Roman"/>
        </w:rPr>
      </w:pPr>
      <w:r>
        <w:rPr>
          <w:rFonts w:ascii="Times Roman" w:hAnsi="Times Roman"/>
          <w:rtl w:val="0"/>
          <w:lang w:val="it-IT"/>
        </w:rPr>
        <w:t xml:space="preserve">La Commissione non ha presentato una proposta legislativa per introdurre questo prelievo. Il 28 aprile il Parlamento europeo, nella risoluzione sulla relazione interlocutoria per il quadro finanziario pluriennale approvata con 370 voti favorevoli, ha indicato </w:t>
      </w:r>
      <w:r>
        <w:rPr>
          <w:rFonts w:ascii="Times Roman" w:hAnsi="Times Roman" w:hint="default"/>
          <w:rtl w:val="0"/>
          <w:lang w:val="fr-FR"/>
        </w:rPr>
        <w:t>«</w:t>
      </w:r>
      <w:r>
        <w:rPr>
          <w:rFonts w:ascii="Times Roman" w:hAnsi="Times Roman"/>
          <w:rtl w:val="0"/>
          <w:lang w:val="en-US"/>
        </w:rPr>
        <w:t>an online gambling and betting services levy</w:t>
      </w:r>
      <w:r>
        <w:rPr>
          <w:rFonts w:ascii="Times Roman" w:hAnsi="Times Roman" w:hint="default"/>
          <w:rtl w:val="0"/>
          <w:lang w:val="it-IT"/>
        </w:rPr>
        <w:t xml:space="preserve">» </w:t>
      </w:r>
      <w:r>
        <w:rPr>
          <w:rFonts w:ascii="Times Roman" w:hAnsi="Times Roman"/>
          <w:rtl w:val="0"/>
          <w:lang w:val="it-IT"/>
        </w:rPr>
        <w:t>tra le soluzioni da esplorare se le nuove risorse proposte dalla Commissione non avessero trovato il sostegno degli Stati. La Commissione, che di risorse proprie nuove ne aveva proposte cinque nel luglio 2025, nessuna sul gioco, il 19 giugno ha fatto sapere che in quella fase del negoziato non avrebbe dato una risposta formale ai punti della relazione.</w:t>
      </w:r>
    </w:p>
    <w:p>
      <w:pPr>
        <w:pStyle w:val="Corpo"/>
        <w:rPr>
          <w:rFonts w:ascii="Times Roman" w:cs="Times Roman" w:hAnsi="Times Roman" w:eastAsia="Times Roman"/>
        </w:rPr>
      </w:pPr>
      <w:r>
        <w:rPr>
          <w:rFonts w:ascii="Times Roman" w:hAnsi="Times Roman"/>
          <w:rtl w:val="0"/>
          <w:lang w:val="it-IT"/>
        </w:rPr>
        <w:t xml:space="preserve">Le cifre circolate da allora vengono da un documento di lavoro dei servizi della Commissione del 28 maggio, la </w:t>
      </w:r>
      <w:r>
        <w:rPr>
          <w:rFonts w:ascii="Times Roman" w:hAnsi="Times Roman" w:hint="default"/>
          <w:rtl w:val="0"/>
          <w:lang w:val="fr-FR"/>
        </w:rPr>
        <w:t>«</w:t>
      </w:r>
      <w:r>
        <w:rPr>
          <w:rFonts w:ascii="Times Roman" w:hAnsi="Times Roman"/>
          <w:rtl w:val="0"/>
          <w:lang w:val="it-IT"/>
        </w:rPr>
        <w:t>Fiche no. 48</w:t>
      </w:r>
      <w:r>
        <w:rPr>
          <w:rFonts w:ascii="Times Roman" w:hAnsi="Times Roman" w:hint="default"/>
          <w:rtl w:val="0"/>
          <w:lang w:val="it-IT"/>
        </w:rPr>
        <w:t>»</w:t>
      </w:r>
      <w:r>
        <w:rPr>
          <w:rFonts w:ascii="Times Roman" w:hAnsi="Times Roman"/>
          <w:rtl w:val="0"/>
          <w:lang w:val="it-IT"/>
        </w:rPr>
        <w:t>, che esamina tre possibili risorse proprie: servizi digitali, gioco online e criptoattivit</w:t>
      </w:r>
      <w:r>
        <w:rPr>
          <w:rFonts w:ascii="Times Roman" w:hAnsi="Times Roman" w:hint="default"/>
          <w:rtl w:val="0"/>
        </w:rPr>
        <w:t>à</w:t>
      </w:r>
      <w:r>
        <w:rPr>
          <w:rFonts w:ascii="Times Roman" w:hAnsi="Times Roman"/>
          <w:rtl w:val="0"/>
          <w:lang w:val="it-IT"/>
        </w:rPr>
        <w:t>. Della parte sul gioco ha fatto notizia soprattutto il gettito. Un prelievo del 3% sul fatturato netto del gioco online renderebbe in media 1,9 miliardi di euro l'anno fra il 2028 e il 2034, a prezzi 2025, stima che il documento stesso definisce preliminare. La tabella per Stato mette la Spagna in testa con 414 milioni, poi Polonia, Germania e Malta, che con 165 milioni pesa pi</w:t>
      </w:r>
      <w:r>
        <w:rPr>
          <w:rFonts w:ascii="Times Roman" w:hAnsi="Times Roman" w:hint="default"/>
          <w:rtl w:val="0"/>
          <w:lang w:val="it-IT"/>
        </w:rPr>
        <w:t xml:space="preserve">ù </w:t>
      </w:r>
      <w:r>
        <w:rPr>
          <w:rFonts w:ascii="Times Roman" w:hAnsi="Times Roman"/>
          <w:rtl w:val="0"/>
          <w:lang w:val="it-IT"/>
        </w:rPr>
        <w:t xml:space="preserve">dell'Italia; l'Italia </w:t>
      </w:r>
      <w:r>
        <w:rPr>
          <w:rFonts w:ascii="Times Roman" w:hAnsi="Times Roman" w:hint="default"/>
          <w:rtl w:val="0"/>
          <w:lang w:val="it-IT"/>
        </w:rPr>
        <w:t xml:space="preserve">è </w:t>
      </w:r>
      <w:r>
        <w:rPr>
          <w:rFonts w:ascii="Times Roman" w:hAnsi="Times Roman"/>
          <w:rtl w:val="0"/>
          <w:lang w:val="it-IT"/>
        </w:rPr>
        <w:t xml:space="preserve">quinta con 143 milioni, circa il 7,7% del totale. </w:t>
      </w:r>
      <w:r>
        <w:rPr>
          <w:rFonts w:ascii="Times Roman" w:hAnsi="Times Roman" w:hint="default"/>
          <w:rtl w:val="0"/>
          <w:lang w:val="it-IT"/>
        </w:rPr>
        <w:t xml:space="preserve">È </w:t>
      </w:r>
      <w:r>
        <w:rPr>
          <w:rFonts w:ascii="Times Roman" w:hAnsi="Times Roman"/>
          <w:rtl w:val="0"/>
          <w:lang w:val="it-IT"/>
        </w:rPr>
        <w:t>una simulazione, costruita applicando a tutti i paesi la stessa quota di gioco online, non un conto gi</w:t>
      </w:r>
      <w:r>
        <w:rPr>
          <w:rFonts w:ascii="Times Roman" w:hAnsi="Times Roman" w:hint="default"/>
          <w:rtl w:val="0"/>
        </w:rPr>
        <w:t xml:space="preserve">à </w:t>
      </w:r>
      <w:r>
        <w:rPr>
          <w:rFonts w:ascii="Times Roman" w:hAnsi="Times Roman"/>
          <w:rtl w:val="0"/>
          <w:lang w:val="it-IT"/>
        </w:rPr>
        <w:t>intestato agli operatori.</w:t>
      </w:r>
    </w:p>
    <w:p>
      <w:pPr>
        <w:pStyle w:val="Corpo"/>
        <w:rPr>
          <w:rFonts w:ascii="Times Roman" w:cs="Times Roman" w:hAnsi="Times Roman" w:eastAsia="Times Roman"/>
        </w:rPr>
      </w:pPr>
    </w:p>
    <w:p>
      <w:pPr>
        <w:pStyle w:val="Corpo"/>
        <w:rPr>
          <w:rFonts w:ascii="Times Roman" w:cs="Times Roman" w:hAnsi="Times Roman" w:eastAsia="Times Roman"/>
        </w:rPr>
      </w:pPr>
      <w:r>
        <w:rPr>
          <w:rFonts w:ascii="Times Roman" w:hAnsi="Times Roman"/>
          <w:rtl w:val="0"/>
          <w:lang w:val="it-IT"/>
        </w:rPr>
        <w:t xml:space="preserve">La base, invece, i servizi della Commissione non la scelgono. Ne elencano tre: il margine lordo degli operatori, il loro fatturato, oppure un prelievo indiretto sui giocatori, per esempio sulle puntate. Il calcolo del gettito </w:t>
      </w:r>
      <w:r>
        <w:rPr>
          <w:rFonts w:ascii="Times Roman" w:hAnsi="Times Roman" w:hint="default"/>
          <w:rtl w:val="0"/>
          <w:lang w:val="it-IT"/>
        </w:rPr>
        <w:t xml:space="preserve">è </w:t>
      </w:r>
      <w:r>
        <w:rPr>
          <w:rFonts w:ascii="Times Roman" w:hAnsi="Times Roman"/>
          <w:rtl w:val="0"/>
          <w:lang w:val="it-IT"/>
        </w:rPr>
        <w:t>fatto sul fatturato, e il documento annota che una risorsa calcolata sul fatturato sarebbe pi</w:t>
      </w:r>
      <w:r>
        <w:rPr>
          <w:rFonts w:ascii="Times Roman" w:hAnsi="Times Roman" w:hint="default"/>
          <w:rtl w:val="0"/>
          <w:lang w:val="it-IT"/>
        </w:rPr>
        <w:t xml:space="preserve">ù </w:t>
      </w:r>
      <w:r>
        <w:rPr>
          <w:rFonts w:ascii="Times Roman" w:hAnsi="Times Roman"/>
          <w:rtl w:val="0"/>
          <w:lang w:val="it-IT"/>
        </w:rPr>
        <w:t xml:space="preserve">facile da controllare di una calcolata sul margine. La riscossione la preferirebbero affidata allo Stato in cui l'operatore </w:t>
      </w:r>
      <w:r>
        <w:rPr>
          <w:rFonts w:ascii="Times Roman" w:hAnsi="Times Roman" w:hint="default"/>
          <w:rtl w:val="0"/>
          <w:lang w:val="it-IT"/>
        </w:rPr>
        <w:t xml:space="preserve">è </w:t>
      </w:r>
      <w:r>
        <w:rPr>
          <w:rFonts w:ascii="Times Roman" w:hAnsi="Times Roman"/>
          <w:rtl w:val="0"/>
          <w:lang w:val="it-IT"/>
        </w:rPr>
        <w:t xml:space="preserve">registrato, invece di dividerla fra i paesi in cui il servizio </w:t>
      </w:r>
      <w:r>
        <w:rPr>
          <w:rFonts w:ascii="Times Roman" w:hAnsi="Times Roman" w:hint="default"/>
          <w:rtl w:val="0"/>
          <w:lang w:val="it-IT"/>
        </w:rPr>
        <w:t xml:space="preserve">è </w:t>
      </w:r>
      <w:r>
        <w:rPr>
          <w:rFonts w:ascii="Times Roman" w:hAnsi="Times Roman"/>
          <w:rtl w:val="0"/>
          <w:lang w:val="it-IT"/>
        </w:rPr>
        <w:t>offerto, fino a ventisette.</w:t>
      </w:r>
    </w:p>
    <w:p>
      <w:pPr>
        <w:pStyle w:val="Corpo"/>
        <w:rPr>
          <w:rFonts w:ascii="Times Roman" w:cs="Times Roman" w:hAnsi="Times Roman" w:eastAsia="Times Roman"/>
        </w:rPr>
      </w:pPr>
      <w:r>
        <w:rPr>
          <w:rFonts w:ascii="Times Roman" w:hAnsi="Times Roman"/>
          <w:rtl w:val="0"/>
          <w:lang w:val="it-IT"/>
        </w:rPr>
        <w:t>E c'</w:t>
      </w:r>
      <w:r>
        <w:rPr>
          <w:rFonts w:ascii="Times Roman" w:hAnsi="Times Roman" w:hint="default"/>
          <w:rtl w:val="0"/>
          <w:lang w:val="it-IT"/>
        </w:rPr>
        <w:t xml:space="preserve">è </w:t>
      </w:r>
      <w:r>
        <w:rPr>
          <w:rFonts w:ascii="Times Roman" w:hAnsi="Times Roman"/>
          <w:rtl w:val="0"/>
          <w:lang w:val="it-IT"/>
        </w:rPr>
        <w:t xml:space="preserve">un avvertimento, scritto in chiaro: qualsiasi traslazione del prelievo </w:t>
      </w:r>
      <w:r>
        <w:rPr>
          <w:rFonts w:ascii="Times Roman" w:hAnsi="Times Roman" w:hint="default"/>
          <w:rtl w:val="0"/>
          <w:lang w:val="fr-FR"/>
        </w:rPr>
        <w:t>«</w:t>
      </w:r>
      <w:r>
        <w:rPr>
          <w:rFonts w:ascii="Times Roman" w:hAnsi="Times Roman"/>
          <w:rtl w:val="0"/>
          <w:lang w:val="en-US"/>
        </w:rPr>
        <w:t>may drive consumers towards unlicensed operators and outside the EU</w:t>
      </w:r>
      <w:r>
        <w:rPr>
          <w:rFonts w:ascii="Times Roman" w:hAnsi="Times Roman" w:hint="default"/>
          <w:rtl w:val="0"/>
          <w:lang w:val="it-IT"/>
        </w:rPr>
        <w:t>»</w:t>
      </w:r>
      <w:r>
        <w:rPr>
          <w:rFonts w:ascii="Times Roman" w:hAnsi="Times Roman"/>
          <w:rtl w:val="0"/>
        </w:rPr>
        <w:t>.</w:t>
      </w:r>
    </w:p>
    <w:p>
      <w:pPr>
        <w:pStyle w:val="Corpo"/>
        <w:rPr>
          <w:rFonts w:ascii="Times Roman" w:cs="Times Roman" w:hAnsi="Times Roman" w:eastAsia="Times Roman"/>
        </w:rPr>
      </w:pPr>
      <w:r>
        <w:rPr>
          <w:rFonts w:ascii="Times Roman" w:hAnsi="Times Roman"/>
          <w:rtl w:val="0"/>
          <w:lang w:val="it-IT"/>
        </w:rPr>
        <w:t xml:space="preserve">Da qui il prerequisito, che la fiche mette nero su bianco: </w:t>
      </w:r>
      <w:r>
        <w:rPr>
          <w:rFonts w:ascii="Times Roman" w:hAnsi="Times Roman" w:hint="default"/>
          <w:rtl w:val="0"/>
          <w:lang w:val="fr-FR"/>
        </w:rPr>
        <w:t>«</w:t>
      </w:r>
      <w:r>
        <w:rPr>
          <w:rFonts w:ascii="Times Roman" w:hAnsi="Times Roman"/>
          <w:rtl w:val="0"/>
          <w:lang w:val="en-US"/>
        </w:rPr>
        <w:t>an agreement on a harmonised scope and tax base</w:t>
      </w:r>
      <w:r>
        <w:rPr>
          <w:rFonts w:ascii="Times Roman" w:hAnsi="Times Roman" w:hint="default"/>
          <w:rtl w:val="0"/>
          <w:lang w:val="it-IT"/>
        </w:rPr>
        <w:t>»</w:t>
      </w:r>
      <w:r>
        <w:rPr>
          <w:rFonts w:ascii="Times Roman" w:hAnsi="Times Roman"/>
          <w:rtl w:val="0"/>
          <w:lang w:val="it-IT"/>
        </w:rPr>
        <w:t>. Oggi nell'Unione non esiste una definizione armonizzata di GGR. Per averla servirebbe una normativa settoriale di armonizzazione approvata all'unanimit</w:t>
      </w:r>
      <w:r>
        <w:rPr>
          <w:rFonts w:ascii="Times Roman" w:hAnsi="Times Roman" w:hint="default"/>
          <w:rtl w:val="0"/>
        </w:rPr>
        <w:t>à</w:t>
      </w:r>
      <w:r>
        <w:rPr>
          <w:rFonts w:ascii="Times Roman" w:hAnsi="Times Roman"/>
          <w:rtl w:val="0"/>
          <w:lang w:val="it-IT"/>
        </w:rPr>
        <w:t>; solo dopo verrebbe la decisione sulle risorse proprie, di nuovo all'unanimit</w:t>
      </w:r>
      <w:r>
        <w:rPr>
          <w:rFonts w:ascii="Times Roman" w:hAnsi="Times Roman" w:hint="default"/>
          <w:rtl w:val="0"/>
        </w:rPr>
        <w:t>à</w:t>
      </w:r>
      <w:r>
        <w:rPr>
          <w:rFonts w:ascii="Times Roman" w:hAnsi="Times Roman"/>
          <w:rtl w:val="0"/>
          <w:lang w:val="it-IT"/>
        </w:rPr>
        <w:t>, dopo la consultazione del Parlamento e con l'approvazione di ogni Stato secondo le proprie norme costituzionali, e infine i regolamenti di attuazione. Prima dell'aliquota, insomma, c'</w:t>
      </w:r>
      <w:r>
        <w:rPr>
          <w:rFonts w:ascii="Times Roman" w:hAnsi="Times Roman" w:hint="default"/>
          <w:rtl w:val="0"/>
          <w:lang w:val="it-IT"/>
        </w:rPr>
        <w:t xml:space="preserve">è </w:t>
      </w:r>
      <w:r>
        <w:rPr>
          <w:rFonts w:ascii="Times Roman" w:hAnsi="Times Roman"/>
          <w:rtl w:val="0"/>
          <w:lang w:val="it-IT"/>
        </w:rPr>
        <w:t>da decidere che cosa si tassa.</w:t>
      </w:r>
    </w:p>
    <w:p>
      <w:pPr>
        <w:pStyle w:val="Corpo"/>
        <w:rPr>
          <w:rFonts w:ascii="Times Roman" w:cs="Times Roman" w:hAnsi="Times Roman" w:eastAsia="Times Roman"/>
        </w:rPr>
      </w:pPr>
      <w:r>
        <w:rPr>
          <w:rFonts w:ascii="Times Roman" w:hAnsi="Times Roman"/>
          <w:rtl w:val="0"/>
          <w:lang w:val="it-IT"/>
        </w:rPr>
        <w:t xml:space="preserve">Per l'Italia la questione non </w:t>
      </w:r>
      <w:r>
        <w:rPr>
          <w:rFonts w:ascii="Times Roman" w:hAnsi="Times Roman" w:hint="default"/>
          <w:rtl w:val="0"/>
          <w:lang w:val="it-IT"/>
        </w:rPr>
        <w:t xml:space="preserve">è </w:t>
      </w:r>
      <w:r>
        <w:rPr>
          <w:rFonts w:ascii="Times Roman" w:hAnsi="Times Roman"/>
          <w:rtl w:val="0"/>
          <w:lang w:val="it-IT"/>
        </w:rPr>
        <w:t>marginale. Nella stessa fiche il nostro paese risulta primo nell'Unione, nel 2024, per gettito da lotterie, giochi e scommesse in rapporto al reddito nazionale lordo, intorno allo 0,47%, con Malta subito dietro. L'indicatore comprende anche il gioco fisico e non misura la pressione fiscale sull'online, ma dice quanto il gioco pesi sulle entrate pubbliche italiane, e quindi quanto Roma abbia da difendere quando si parla della sua base imponibile.</w:t>
      </w:r>
    </w:p>
    <w:p>
      <w:pPr>
        <w:pStyle w:val="Corpo"/>
        <w:rPr>
          <w:rFonts w:ascii="Times Roman" w:cs="Times Roman" w:hAnsi="Times Roman" w:eastAsia="Times Roman"/>
          <w:b w:val="1"/>
          <w:bCs w:val="1"/>
        </w:rPr>
      </w:pPr>
      <w:r>
        <w:rPr>
          <w:rFonts w:ascii="Times Roman" w:hAnsi="Times Roman"/>
          <w:b w:val="1"/>
          <w:bCs w:val="1"/>
          <w:rtl w:val="0"/>
          <w:lang w:val="it-IT"/>
        </w:rPr>
        <w:t xml:space="preserve">Il precedente internazionale: in Germania la base imponibile delle slot </w:t>
      </w:r>
      <w:r>
        <w:rPr>
          <w:rFonts w:ascii="Times Roman" w:hAnsi="Times Roman" w:hint="default"/>
          <w:b w:val="1"/>
          <w:bCs w:val="1"/>
          <w:rtl w:val="0"/>
          <w:lang w:val="it-IT"/>
        </w:rPr>
        <w:t xml:space="preserve">è </w:t>
      </w:r>
      <w:r>
        <w:rPr>
          <w:rFonts w:ascii="Times Roman" w:hAnsi="Times Roman"/>
          <w:b w:val="1"/>
          <w:bCs w:val="1"/>
          <w:rtl w:val="0"/>
          <w:lang w:val="it-IT"/>
        </w:rPr>
        <w:t>la puntata</w:t>
      </w:r>
    </w:p>
    <w:p>
      <w:pPr>
        <w:pStyle w:val="Corpo"/>
        <w:rPr>
          <w:rFonts w:ascii="Times Roman" w:cs="Times Roman" w:hAnsi="Times Roman" w:eastAsia="Times Roman"/>
        </w:rPr>
      </w:pPr>
      <w:r>
        <w:rPr>
          <w:rFonts w:ascii="Times Roman" w:hAnsi="Times Roman"/>
          <w:rtl w:val="0"/>
          <w:lang w:val="it-IT"/>
        </w:rPr>
        <w:t xml:space="preserve">Quanto conti la scelta della base lo dice la Germania. La legge federale su scommesse e lotterie tassa le slot virtuali sulla puntata, non sul margine: 5,3% sul giocato al netto dell'imposta stessa, con l'esclusione dei bonus non prelevabili e utilizzabili solo per giocare. Il poker online ha un'imposta propria, con regole diverse per tavolo e torneo. Sull'imposta delle slot virtuali il Bundesfinanzhof, la Corte federale tributaria, si </w:t>
      </w:r>
      <w:r>
        <w:rPr>
          <w:rFonts w:ascii="Times Roman" w:hAnsi="Times Roman" w:hint="default"/>
          <w:rtl w:val="0"/>
          <w:lang w:val="it-IT"/>
        </w:rPr>
        <w:t xml:space="preserve">è </w:t>
      </w:r>
      <w:r>
        <w:rPr>
          <w:rFonts w:ascii="Times Roman" w:hAnsi="Times Roman"/>
          <w:rtl w:val="0"/>
          <w:lang w:val="it-IT"/>
        </w:rPr>
        <w:t>pronunciato a novembre 2025 ritenendola compatibile con la costituzione e con il diritto europeo.</w:t>
      </w:r>
    </w:p>
    <w:p>
      <w:pPr>
        <w:pStyle w:val="Corpo"/>
        <w:rPr>
          <w:rFonts w:ascii="Times Roman" w:cs="Times Roman" w:hAnsi="Times Roman" w:eastAsia="Times Roman"/>
        </w:rPr>
      </w:pPr>
    </w:p>
    <w:p>
      <w:pPr>
        <w:pStyle w:val="Corpo"/>
        <w:rPr>
          <w:rFonts w:ascii="Times Roman" w:cs="Times Roman" w:hAnsi="Times Roman" w:eastAsia="Times Roman"/>
        </w:rPr>
      </w:pPr>
      <w:r>
        <w:rPr>
          <w:rFonts w:ascii="Times Roman" w:hAnsi="Times Roman"/>
          <w:rtl w:val="0"/>
          <w:lang w:val="it-IT"/>
        </w:rPr>
        <w:t xml:space="preserve">L'aliquota sembra bassa e non lo </w:t>
      </w:r>
      <w:r>
        <w:rPr>
          <w:rFonts w:ascii="Times Roman" w:hAnsi="Times Roman" w:hint="default"/>
          <w:rtl w:val="0"/>
          <w:lang w:val="it-IT"/>
        </w:rPr>
        <w:t>è</w:t>
      </w:r>
      <w:r>
        <w:rPr>
          <w:rFonts w:ascii="Times Roman" w:hAnsi="Times Roman"/>
          <w:rtl w:val="0"/>
          <w:lang w:val="it-IT"/>
        </w:rPr>
        <w:t xml:space="preserve">. Un'imposta sulla puntata non guarda quanto resta all'operatore dopo le vincite, e su una slot quel margine </w:t>
      </w:r>
      <w:r>
        <w:rPr>
          <w:rFonts w:ascii="Times Roman" w:hAnsi="Times Roman" w:hint="default"/>
          <w:rtl w:val="0"/>
          <w:lang w:val="it-IT"/>
        </w:rPr>
        <w:t xml:space="preserve">è </w:t>
      </w:r>
      <w:r>
        <w:rPr>
          <w:rFonts w:ascii="Times Roman" w:hAnsi="Times Roman"/>
          <w:rtl w:val="0"/>
          <w:lang w:val="it-IT"/>
        </w:rPr>
        <w:t>sottile. In un esempio teorico, con cento euro di puntate comprensive dell'imposta e 95 euro restituiti ai giocatori, all'operatore restano cinque euro; il prelievo vale circa 5,03 euro e li supera gi</w:t>
      </w:r>
      <w:r>
        <w:rPr>
          <w:rFonts w:ascii="Times Roman" w:hAnsi="Times Roman" w:hint="default"/>
          <w:rtl w:val="0"/>
        </w:rPr>
        <w:t xml:space="preserve">à </w:t>
      </w:r>
      <w:r>
        <w:rPr>
          <w:rFonts w:ascii="Times Roman" w:hAnsi="Times Roman"/>
          <w:rtl w:val="0"/>
          <w:lang w:val="it-IT"/>
        </w:rPr>
        <w:t>prima dei costi. Un'imposta cos</w:t>
      </w:r>
      <w:r>
        <w:rPr>
          <w:rFonts w:ascii="Times Roman" w:hAnsi="Times Roman" w:hint="default"/>
          <w:rtl w:val="0"/>
        </w:rPr>
        <w:t xml:space="preserve">ì </w:t>
      </w:r>
      <w:r>
        <w:rPr>
          <w:rFonts w:ascii="Times Roman" w:hAnsi="Times Roman"/>
          <w:rtl w:val="0"/>
        </w:rPr>
        <w:t>pu</w:t>
      </w:r>
      <w:r>
        <w:rPr>
          <w:rFonts w:ascii="Times Roman" w:hAnsi="Times Roman" w:hint="default"/>
          <w:rtl w:val="0"/>
          <w:lang w:val="it-IT"/>
        </w:rPr>
        <w:t xml:space="preserve">ò </w:t>
      </w:r>
      <w:r>
        <w:rPr>
          <w:rFonts w:ascii="Times Roman" w:hAnsi="Times Roman"/>
          <w:rtl w:val="0"/>
          <w:lang w:val="it-IT"/>
        </w:rPr>
        <w:t>spingere gli operatori ad abbassare il ritorno al giocatore o ad aumentare il costo del gioco, e in entrambi i casi il prodotto legale diventa meno conveniente nei parametri che il cliente pu</w:t>
      </w:r>
      <w:r>
        <w:rPr>
          <w:rFonts w:ascii="Times Roman" w:hAnsi="Times Roman" w:hint="default"/>
          <w:rtl w:val="0"/>
          <w:lang w:val="it-IT"/>
        </w:rPr>
        <w:t xml:space="preserve">ò </w:t>
      </w:r>
      <w:r>
        <w:rPr>
          <w:rFonts w:ascii="Times Roman" w:hAnsi="Times Roman"/>
          <w:rtl w:val="0"/>
          <w:lang w:val="it-IT"/>
        </w:rPr>
        <w:t>confrontare con l'offerta senza licenza. L'associazione degli operatori di casin</w:t>
      </w:r>
      <w:r>
        <w:rPr>
          <w:rFonts w:ascii="Times Roman" w:hAnsi="Times Roman" w:hint="default"/>
          <w:rtl w:val="0"/>
          <w:lang w:val="it-IT"/>
        </w:rPr>
        <w:t xml:space="preserve">ò </w:t>
      </w:r>
      <w:r>
        <w:rPr>
          <w:rFonts w:ascii="Times Roman" w:hAnsi="Times Roman"/>
          <w:rtl w:val="0"/>
          <w:lang w:val="it-IT"/>
        </w:rPr>
        <w:t>online tedeschi, il DOCV, chiede da anni il passaggio a un'imposta sul margine, e i dati sulla canalizzazione restano oggetto di controversia fra industria e regolatore.</w:t>
      </w:r>
    </w:p>
    <w:p>
      <w:pPr>
        <w:pStyle w:val="Corpo"/>
        <w:rPr>
          <w:rFonts w:ascii="Times Roman" w:cs="Times Roman" w:hAnsi="Times Roman" w:eastAsia="Times Roman"/>
        </w:rPr>
      </w:pPr>
      <w:r>
        <w:rPr>
          <w:rFonts w:ascii="Times Roman" w:hAnsi="Times Roman"/>
          <w:rtl w:val="0"/>
          <w:lang w:val="it-IT"/>
        </w:rPr>
        <w:t>Per casin</w:t>
      </w:r>
      <w:r>
        <w:rPr>
          <w:rFonts w:ascii="Times Roman" w:hAnsi="Times Roman" w:hint="default"/>
          <w:rtl w:val="0"/>
        </w:rPr>
        <w:t>ò</w:t>
      </w:r>
      <w:r>
        <w:rPr>
          <w:rFonts w:ascii="Times Roman" w:hAnsi="Times Roman"/>
          <w:rtl w:val="0"/>
          <w:lang w:val="it-IT"/>
        </w:rPr>
        <w:t xml:space="preserve">, poker e bingo online l'Italia ha fatto la scelta opposta: l'imposta unica </w:t>
      </w:r>
      <w:r>
        <w:rPr>
          <w:rFonts w:ascii="Times Roman" w:hAnsi="Times Roman" w:hint="default"/>
          <w:rtl w:val="0"/>
          <w:lang w:val="it-IT"/>
        </w:rPr>
        <w:t xml:space="preserve">è </w:t>
      </w:r>
      <w:r>
        <w:rPr>
          <w:rFonts w:ascii="Times Roman" w:hAnsi="Times Roman"/>
          <w:rtl w:val="0"/>
          <w:lang w:val="it-IT"/>
        </w:rPr>
        <w:t>pari al 25,5% e si calcola sul margine, cio</w:t>
      </w:r>
      <w:r>
        <w:rPr>
          <w:rFonts w:ascii="Times Roman" w:hAnsi="Times Roman" w:hint="default"/>
          <w:rtl w:val="0"/>
          <w:lang w:val="it-IT"/>
        </w:rPr>
        <w:t xml:space="preserve">è </w:t>
      </w:r>
      <w:r>
        <w:rPr>
          <w:rFonts w:ascii="Times Roman" w:hAnsi="Times Roman"/>
          <w:rtl w:val="0"/>
          <w:lang w:val="it-IT"/>
        </w:rPr>
        <w:t xml:space="preserve">sulle somme giocate al netto delle vincite. </w:t>
      </w:r>
      <w:r>
        <w:rPr>
          <w:rFonts w:ascii="Times Roman" w:hAnsi="Times Roman" w:hint="default"/>
          <w:rtl w:val="0"/>
          <w:lang w:val="it-IT"/>
        </w:rPr>
        <w:t xml:space="preserve">È </w:t>
      </w:r>
      <w:r>
        <w:rPr>
          <w:rFonts w:ascii="Times Roman" w:hAnsi="Times Roman"/>
          <w:rtl w:val="0"/>
          <w:lang w:val="it-IT"/>
        </w:rPr>
        <w:t>un'aliquota pi</w:t>
      </w:r>
      <w:r>
        <w:rPr>
          <w:rFonts w:ascii="Times Roman" w:hAnsi="Times Roman" w:hint="default"/>
          <w:rtl w:val="0"/>
          <w:lang w:val="it-IT"/>
        </w:rPr>
        <w:t xml:space="preserve">ù </w:t>
      </w:r>
      <w:r>
        <w:rPr>
          <w:rFonts w:ascii="Times Roman" w:hAnsi="Times Roman"/>
          <w:rtl w:val="0"/>
          <w:lang w:val="it-IT"/>
        </w:rPr>
        <w:t>alta in percentuale, ma con una struttura che segue il margine lordo di gioco invece del volume giocato. La fiche la mette fra le basi possibili, ma per stimare il gettito usa il fatturato.</w:t>
      </w:r>
    </w:p>
    <w:p>
      <w:pPr>
        <w:pStyle w:val="Corpo"/>
        <w:rPr>
          <w:rFonts w:ascii="Times Roman" w:cs="Times Roman" w:hAnsi="Times Roman" w:eastAsia="Times Roman"/>
          <w:b w:val="1"/>
          <w:bCs w:val="1"/>
        </w:rPr>
      </w:pPr>
      <w:r>
        <w:rPr>
          <w:rFonts w:ascii="Times Roman" w:hAnsi="Times Roman"/>
          <w:b w:val="1"/>
          <w:bCs w:val="1"/>
          <w:rtl w:val="0"/>
          <w:lang w:val="it-IT"/>
        </w:rPr>
        <w:t>Cosa deve decidere chi guida: quale base imponibile sostenere se la tassa UE torna</w:t>
      </w:r>
    </w:p>
    <w:p>
      <w:pPr>
        <w:pStyle w:val="Corpo"/>
        <w:rPr>
          <w:rFonts w:ascii="Times Roman" w:cs="Times Roman" w:hAnsi="Times Roman" w:eastAsia="Times Roman"/>
        </w:rPr>
      </w:pPr>
      <w:r>
        <w:rPr>
          <w:rFonts w:ascii="Times Roman" w:hAnsi="Times Roman"/>
          <w:rtl w:val="0"/>
          <w:lang w:val="it-IT"/>
        </w:rPr>
        <w:t>Se un prelievo europeo aggiuntivo si sommasse a quello italiano, sarebbe un costo. L'occasione possibile sta nella base: se un prelievo europeo dovesse esistere, che fosse calcolato sul margine, la base che l'Italia applica da anni a casin</w:t>
      </w:r>
      <w:r>
        <w:rPr>
          <w:rFonts w:ascii="Times Roman" w:hAnsi="Times Roman" w:hint="default"/>
          <w:rtl w:val="0"/>
        </w:rPr>
        <w:t>ò</w:t>
      </w:r>
      <w:r>
        <w:rPr>
          <w:rFonts w:ascii="Times Roman" w:hAnsi="Times Roman"/>
          <w:rtl w:val="0"/>
          <w:lang w:val="it-IT"/>
        </w:rPr>
        <w:t>, poker e bingo online. Un prelievo sulla puntata peserebbe di pi</w:t>
      </w:r>
      <w:r>
        <w:rPr>
          <w:rFonts w:ascii="Times Roman" w:hAnsi="Times Roman" w:hint="default"/>
          <w:rtl w:val="0"/>
          <w:lang w:val="it-IT"/>
        </w:rPr>
        <w:t xml:space="preserve">ù </w:t>
      </w:r>
      <w:r>
        <w:rPr>
          <w:rFonts w:ascii="Times Roman" w:hAnsi="Times Roman"/>
          <w:rtl w:val="0"/>
          <w:lang w:val="it-IT"/>
        </w:rPr>
        <w:t>proprio sui prodotti a margine sottile, e le slot online lo sono. Quanto convenga davvero dipenderebbe dall'aliquota e da come il livello europeo si coordina con quello nazionale, ma la direzione si sceglie con la base.</w:t>
      </w:r>
    </w:p>
    <w:p>
      <w:pPr>
        <w:pStyle w:val="Corpo"/>
        <w:rPr>
          <w:rFonts w:ascii="Times Roman" w:cs="Times Roman" w:hAnsi="Times Roman" w:eastAsia="Times Roman"/>
        </w:rPr>
      </w:pPr>
      <w:r>
        <w:rPr>
          <w:rFonts w:ascii="Times Roman" w:hAnsi="Times Roman"/>
          <w:rtl w:val="0"/>
          <w:lang w:val="it-IT"/>
        </w:rPr>
        <w:t>Per chi guida un operatore o un'associazione di categoria le decisioni sono due, e non si escludono.</w:t>
      </w:r>
    </w:p>
    <w:p>
      <w:pPr>
        <w:pStyle w:val="Corpo"/>
        <w:rPr>
          <w:rFonts w:ascii="Times Roman" w:cs="Times Roman" w:hAnsi="Times Roman" w:eastAsia="Times Roman"/>
        </w:rPr>
      </w:pPr>
      <w:r>
        <w:rPr>
          <w:rFonts w:ascii="Times Roman" w:hAnsi="Times Roman"/>
          <w:rtl w:val="0"/>
          <w:lang w:val="it-IT"/>
        </w:rPr>
        <w:t xml:space="preserve">La prima </w:t>
      </w:r>
      <w:r>
        <w:rPr>
          <w:rFonts w:ascii="Times Roman" w:hAnsi="Times Roman" w:hint="default"/>
          <w:rtl w:val="0"/>
          <w:lang w:val="it-IT"/>
        </w:rPr>
        <w:t xml:space="preserve">è </w:t>
      </w:r>
      <w:r>
        <w:rPr>
          <w:rFonts w:ascii="Times Roman" w:hAnsi="Times Roman"/>
          <w:rtl w:val="0"/>
          <w:lang w:val="it-IT"/>
        </w:rPr>
        <w:t>se opporsi al prelievo, accanto ai paesi che secondo ricostruzioni di stampa si oppongono dall'estate, fra cui Malta e Italia. Per bloccarlo basta il voto contrario di un governo, e il veto resta tale anche se il dossier tornasse al tavolo. Ma un veto chiude la porta, non scrive nulla: se un compromesso si cercasse, conterebbe avere gi</w:t>
      </w:r>
      <w:r>
        <w:rPr>
          <w:rFonts w:ascii="Times Roman" w:hAnsi="Times Roman" w:hint="default"/>
          <w:rtl w:val="0"/>
        </w:rPr>
        <w:t xml:space="preserve">à </w:t>
      </w:r>
      <w:r>
        <w:rPr>
          <w:rFonts w:ascii="Times Roman" w:hAnsi="Times Roman"/>
          <w:rtl w:val="0"/>
          <w:lang w:val="it-IT"/>
        </w:rPr>
        <w:t>pronta una posizione su che cosa tassare.</w:t>
      </w:r>
    </w:p>
    <w:p>
      <w:pPr>
        <w:pStyle w:val="Corpo"/>
        <w:rPr>
          <w:rFonts w:ascii="Times Roman" w:cs="Times Roman" w:hAnsi="Times Roman" w:eastAsia="Times Roman"/>
        </w:rPr>
      </w:pPr>
      <w:r>
        <w:rPr>
          <w:rFonts w:ascii="Times Roman" w:hAnsi="Times Roman"/>
          <w:rtl w:val="0"/>
          <w:lang w:val="it-IT"/>
        </w:rPr>
        <w:t xml:space="preserve">La seconda </w:t>
      </w:r>
      <w:r>
        <w:rPr>
          <w:rFonts w:ascii="Times Roman" w:hAnsi="Times Roman" w:hint="default"/>
          <w:rtl w:val="0"/>
          <w:lang w:val="it-IT"/>
        </w:rPr>
        <w:t xml:space="preserve">è </w:t>
      </w:r>
      <w:r>
        <w:rPr>
          <w:rFonts w:ascii="Times Roman" w:hAnsi="Times Roman"/>
          <w:rtl w:val="0"/>
          <w:lang w:val="it-IT"/>
        </w:rPr>
        <w:t>quale base difendere nel caso in cui il negoziato riparta. Sostenere il margine richiede di lavorare adesso su definizioni di raccolta, vincite e bonus, su simulazioni e su dati aggregati comparabili, perch</w:t>
      </w:r>
      <w:r>
        <w:rPr>
          <w:rFonts w:ascii="Times Roman" w:hAnsi="Times Roman" w:hint="default"/>
          <w:rtl w:val="0"/>
          <w:lang w:val="fr-FR"/>
        </w:rPr>
        <w:t xml:space="preserve">é </w:t>
      </w:r>
      <w:r>
        <w:rPr>
          <w:rFonts w:ascii="Times Roman" w:hAnsi="Times Roman"/>
          <w:rtl w:val="0"/>
          <w:lang w:val="it-IT"/>
        </w:rPr>
        <w:t>una definizione di GGR armonizzata a livello UE oggi non esiste. Si pu</w:t>
      </w:r>
      <w:r>
        <w:rPr>
          <w:rFonts w:ascii="Times Roman" w:hAnsi="Times Roman" w:hint="default"/>
          <w:rtl w:val="0"/>
          <w:lang w:val="it-IT"/>
        </w:rPr>
        <w:t xml:space="preserve">ò </w:t>
      </w:r>
      <w:r>
        <w:rPr>
          <w:rFonts w:ascii="Times Roman" w:hAnsi="Times Roman"/>
          <w:rtl w:val="0"/>
          <w:lang w:val="it-IT"/>
        </w:rPr>
        <w:t>fare anche restando contrari al prelievo, come posizione subordinata.</w:t>
      </w:r>
    </w:p>
    <w:p>
      <w:pPr>
        <w:pStyle w:val="Corpo"/>
        <w:rPr>
          <w:rFonts w:ascii="Times Roman" w:cs="Times Roman" w:hAnsi="Times Roman" w:eastAsia="Times Roman"/>
        </w:rPr>
      </w:pPr>
      <w:r>
        <w:rPr>
          <w:rFonts w:ascii="Times Roman" w:hAnsi="Times Roman"/>
          <w:rtl w:val="0"/>
          <w:lang w:val="it-IT"/>
        </w:rPr>
        <w:t>Senza una posizione tecnica, gli operatori italiani avrebbero meno elementi per contribuire a un confronto in cui i servizi della Commissione hanno gi</w:t>
      </w:r>
      <w:r>
        <w:rPr>
          <w:rFonts w:ascii="Times Roman" w:hAnsi="Times Roman" w:hint="default"/>
          <w:rtl w:val="0"/>
        </w:rPr>
        <w:t xml:space="preserve">à </w:t>
      </w:r>
      <w:r>
        <w:rPr>
          <w:rFonts w:ascii="Times Roman" w:hAnsi="Times Roman"/>
          <w:rtl w:val="0"/>
          <w:lang w:val="it-IT"/>
        </w:rPr>
        <w:t>fatto i conti sul fatturato, e in cui resta da chiarire quanto quel fatturato si allontani dal margine.</w:t>
      </w:r>
    </w:p>
    <w:p>
      <w:pPr>
        <w:pStyle w:val="Corpo"/>
        <w:rPr>
          <w:rFonts w:ascii="Times Roman" w:cs="Times Roman" w:hAnsi="Times Roman" w:eastAsia="Times Roman"/>
        </w:rPr>
      </w:pPr>
      <w:r>
        <w:rPr>
          <w:rFonts w:ascii="Times Roman" w:hAnsi="Times Roman"/>
          <w:rtl w:val="0"/>
          <w:lang w:val="it-IT"/>
        </w:rPr>
        <w:t>Chi nel vostro operatore ha gi</w:t>
      </w:r>
      <w:r>
        <w:rPr>
          <w:rFonts w:ascii="Times Roman" w:hAnsi="Times Roman" w:hint="default"/>
          <w:rtl w:val="0"/>
        </w:rPr>
        <w:t xml:space="preserve">à </w:t>
      </w:r>
      <w:r>
        <w:rPr>
          <w:rFonts w:ascii="Times Roman" w:hAnsi="Times Roman"/>
          <w:rtl w:val="0"/>
          <w:lang w:val="it-IT"/>
        </w:rPr>
        <w:t>una posizione scritta su come andrebbero definiti GGR e bonus, se Bruxelles riaprisse il dossier nel prossimo ciclo di bilancio?</w:t>
      </w:r>
    </w:p>
    <w:p>
      <w:pPr>
        <w:pStyle w:val="Corpo"/>
        <w:rPr>
          <w:rFonts w:ascii="Times Roman" w:cs="Times Roman" w:hAnsi="Times Roman" w:eastAsia="Times Roman"/>
          <w:i w:val="1"/>
          <w:iCs w:val="1"/>
        </w:rPr>
      </w:pPr>
      <w:r>
        <w:rPr>
          <w:rFonts w:ascii="Times Roman" w:hAnsi="Times Roman"/>
          <w:i w:val="1"/>
          <w:iCs w:val="1"/>
          <w:rtl w:val="0"/>
          <w:lang w:val="it-IT"/>
        </w:rPr>
        <w:t xml:space="preserve">Se ti </w:t>
      </w:r>
      <w:r>
        <w:rPr>
          <w:rFonts w:ascii="Times Roman" w:hAnsi="Times Roman" w:hint="default"/>
          <w:i w:val="1"/>
          <w:iCs w:val="1"/>
          <w:rtl w:val="0"/>
          <w:lang w:val="it-IT"/>
        </w:rPr>
        <w:t xml:space="preserve">è </w:t>
      </w:r>
      <w:r>
        <w:rPr>
          <w:rFonts w:ascii="Times Roman" w:hAnsi="Times Roman"/>
          <w:i w:val="1"/>
          <w:iCs w:val="1"/>
          <w:rtl w:val="0"/>
          <w:lang w:val="it-IT"/>
        </w:rPr>
        <w:t>piaciuta questa newsletter, seguici per altri contenuti esclusivi e approfondimenti strategici sul mondo delle scommesse sportive e del gioco pubblico italiano. I nostri aggiornamenti settimanali ti terranno informato su novit</w:t>
      </w:r>
      <w:r>
        <w:rPr>
          <w:rFonts w:ascii="Times Roman" w:hAnsi="Times Roman" w:hint="default"/>
          <w:i w:val="1"/>
          <w:iCs w:val="1"/>
          <w:rtl w:val="0"/>
        </w:rPr>
        <w:t xml:space="preserve">à </w:t>
      </w:r>
      <w:r>
        <w:rPr>
          <w:rFonts w:ascii="Times Roman" w:hAnsi="Times Roman"/>
          <w:i w:val="1"/>
          <w:iCs w:val="1"/>
          <w:rtl w:val="0"/>
          <w:lang w:val="it-IT"/>
        </w:rPr>
        <w:t>normative, opportunit</w:t>
      </w:r>
      <w:r>
        <w:rPr>
          <w:rFonts w:ascii="Times Roman" w:hAnsi="Times Roman" w:hint="default"/>
          <w:i w:val="1"/>
          <w:iCs w:val="1"/>
          <w:rtl w:val="0"/>
        </w:rPr>
        <w:t xml:space="preserve">à </w:t>
      </w:r>
      <w:r>
        <w:rPr>
          <w:rFonts w:ascii="Times Roman" w:hAnsi="Times Roman"/>
          <w:i w:val="1"/>
          <w:iCs w:val="1"/>
          <w:rtl w:val="0"/>
          <w:lang w:val="it-IT"/>
        </w:rPr>
        <w:t>di investimento e trend di mercato.</w:t>
      </w:r>
    </w:p>
    <w:p>
      <w:pPr>
        <w:pStyle w:val="Corpo"/>
        <w:rPr>
          <w:rFonts w:ascii="Times Roman" w:cs="Times Roman" w:hAnsi="Times Roman" w:eastAsia="Times Roman"/>
          <w:i w:val="1"/>
          <w:iCs w:val="1"/>
        </w:rPr>
      </w:pPr>
      <w:r>
        <w:rPr>
          <w:rFonts w:ascii="Times Roman" w:hAnsi="Times Roman"/>
          <w:i w:val="1"/>
          <w:iCs w:val="1"/>
          <w:rtl w:val="0"/>
          <w:lang w:val="it-IT"/>
        </w:rPr>
        <w:t>Chi siamo</w:t>
      </w:r>
    </w:p>
    <w:p>
      <w:pPr>
        <w:pStyle w:val="Corpo"/>
      </w:pPr>
      <w:r>
        <w:rPr>
          <w:rFonts w:ascii="Times Roman" w:hAnsi="Times Roman"/>
          <w:i w:val="1"/>
          <w:iCs w:val="1"/>
          <w:rtl w:val="0"/>
        </w:rPr>
        <w:t xml:space="preserve">Jamma.it </w:t>
      </w:r>
      <w:r>
        <w:rPr>
          <w:rFonts w:ascii="Times Roman" w:hAnsi="Times Roman" w:hint="default"/>
          <w:i w:val="1"/>
          <w:iCs w:val="1"/>
          <w:rtl w:val="0"/>
          <w:lang w:val="it-IT"/>
        </w:rPr>
        <w:t xml:space="preserve">è </w:t>
      </w:r>
      <w:r>
        <w:rPr>
          <w:rFonts w:ascii="Times Roman" w:hAnsi="Times Roman"/>
          <w:i w:val="1"/>
          <w:iCs w:val="1"/>
          <w:rtl w:val="0"/>
          <w:lang w:val="it-IT"/>
        </w:rPr>
        <w:t xml:space="preserve">il principale quotidiano online italiano dedicato al gioco pubblico e al settore del gioco d'azzardo. Fondato nel 2001, si </w:t>
      </w:r>
      <w:r>
        <w:rPr>
          <w:rFonts w:ascii="Times Roman" w:hAnsi="Times Roman" w:hint="default"/>
          <w:i w:val="1"/>
          <w:iCs w:val="1"/>
          <w:rtl w:val="0"/>
          <w:lang w:val="it-IT"/>
        </w:rPr>
        <w:t xml:space="preserve">è </w:t>
      </w:r>
      <w:r>
        <w:rPr>
          <w:rFonts w:ascii="Times Roman" w:hAnsi="Times Roman"/>
          <w:i w:val="1"/>
          <w:iCs w:val="1"/>
          <w:rtl w:val="0"/>
          <w:lang w:val="it-IT"/>
        </w:rPr>
        <w:t>affermato come strumento fondamentale per gli operatori del settore che vogliono rimanere aggiornati su notizie legislative, fiscali, commerciali e analisi di mercato a livello globale. Offre servizi tecnici, forum, aggiornamenti normativi e una vasta gamma di contenuti dedicati al mondo del gioco.</w:t>
      </w:r>
    </w:p>
    <w:sectPr>
      <w:headerReference w:type="default" r:id="rId4"/>
      <w:footerReference w:type="default" r:id="rId5"/>
      <w:pgSz w:w="11900" w:h="16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tabs>
        <w:tab w:val="center" w:pos="4510"/>
      </w:tabs>
      <w:jc w:val="left"/>
    </w:pPr>
    <w:r>
      <w:rPr>
        <w:rtl w:val="0"/>
      </w:rPr>
      <w:t>Pi</w:t>
    </w:r>
    <w:r>
      <w:rPr>
        <w:rtl w:val="0"/>
        <w:lang w:val="it-IT"/>
      </w:rPr>
      <w:t xml:space="preserve">è </w:t>
    </w:r>
    <w:r>
      <w:rPr>
        <w:rtl w:val="0"/>
        <w:lang w:val="it-IT"/>
      </w:rPr>
      <w:t>di pagina</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rpo">
    <w:name w:val="Corpo"/>
    <w:next w:val="Corpo"/>
    <w:pPr>
      <w:keepNext w:val="0"/>
      <w:keepLines w:val="0"/>
      <w:pageBreakBefore w:val="0"/>
      <w:widowControl w:val="1"/>
      <w:shd w:val="clear" w:color="auto" w:fill="auto"/>
      <w:suppressAutoHyphens w:val="0"/>
      <w:bidi w:val="0"/>
      <w:spacing w:before="0" w:after="240" w:line="312"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7"/>
      <w:kern w:val="0"/>
      <w:position w:val="0"/>
      <w:sz w:val="24"/>
      <w:szCs w:val="24"/>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