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</w:pPr>
      <w:r>
        <w:rPr>
          <w:rFonts w:ascii="Cambria Bold" w:hAnsi="Cambria Bold"/>
          <w:rtl w:val="0"/>
          <w:lang w:val="en-US"/>
        </w:rPr>
        <w:t xml:space="preserve">SEO title: </w:t>
      </w:r>
      <w:r>
        <w:rPr>
          <w:rtl w:val="0"/>
          <w:lang w:val="it-IT"/>
        </w:rPr>
        <w:t>IGE 2026: come cambia il mercato delle scommesse online in Italia</w:t>
      </w:r>
    </w:p>
    <w:p>
      <w:pPr>
        <w:pStyle w:val="Corpo"/>
      </w:pPr>
      <w:r>
        <w:rPr>
          <w:rFonts w:ascii="Cambria Bold" w:hAnsi="Cambria Bold"/>
          <w:rtl w:val="0"/>
          <w:lang w:val="en-US"/>
        </w:rPr>
        <w:t xml:space="preserve">Meta description: </w:t>
      </w:r>
      <w:r>
        <w:rPr>
          <w:rtl w:val="0"/>
          <w:lang w:val="it-IT"/>
        </w:rPr>
        <w:t>All'IGE 2026 di Roma emerge il nuovo volto del mercato: 46 concessionari ADM, fine delle skin e sorveglianza SOGEI. Scopri cosa cambia per operatori e scommettitori.</w:t>
      </w:r>
    </w:p>
    <w:p>
      <w:pPr>
        <w:pStyle w:val="Corpo"/>
      </w:pPr>
      <w:r>
        <w:rPr>
          <w:rFonts w:ascii="Cambria Bold" w:hAnsi="Cambria Bold"/>
          <w:rtl w:val="0"/>
          <w:lang w:val="en-US"/>
        </w:rPr>
        <w:t xml:space="preserve">Caption: </w:t>
      </w:r>
      <w:r>
        <w:rPr>
          <w:rtl w:val="0"/>
          <w:lang w:val="it-IT"/>
        </w:rPr>
        <w:t>IGE 2026 a Roma: il mercato iGaming italiano si trasforma</w:t>
      </w:r>
    </w:p>
    <w:p>
      <w:pPr>
        <w:pStyle w:val="Corpo"/>
      </w:pPr>
      <w:r>
        <w:rPr>
          <w:rtl w:val="0"/>
          <w:lang w:val="it-IT"/>
        </w:rPr>
        <w:t>&lt;strong&gt;Roma, aprile 2026. L'Italian Gaming Exhibition si conferma il punto di riferimento per leggere il nuovo mercato delle scommesse online in Italia: 46 concessionari ADM, fine definitiva del modello a skin e sorveglianza tecnologica in tempo reale al centro del dibattito.&lt;/strong&gt;</w:t>
      </w:r>
    </w:p>
    <w:p>
      <w:pPr>
        <w:pStyle w:val="Corpo"/>
      </w:pPr>
      <w:r>
        <w:rPr>
          <w:rtl w:val="0"/>
          <w:lang w:val="it-IT"/>
        </w:rPr>
        <w:t xml:space="preserve">Il nuovo regime concessorio ha alzato la barriera all'entrata a &lt;strong&gt;7 milioni di euro&lt;/strong&gt;. Il risultato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un mercato ridotto a &lt;a href="https://www.adm.gov.it/portale/monopoli/giochi/gioco_distanza/gioco_dist_concessionari" target="_blank" rel="noopener"&gt;46 concessionari ADM&lt;/a&gt;, raggruppabili in pochi grandi poli internazionali. La selezione ha eliminato gli operatori sottocapitalizzati, ma apre un interrogativo cruciale: la concentrazione tutela davvero il giocatore o comprime la concorrenza sulle quote e sui payout?</w:t>
      </w:r>
    </w:p>
    <w:p>
      <w:pPr>
        <w:pStyle w:val="Corpo"/>
      </w:pPr>
      <w:r>
        <w:rPr>
          <w:rtl w:val="0"/>
          <w:lang w:val="it-IT"/>
        </w:rPr>
        <w:t>La sorveglianza tecnologica entra in una nuova fase. I sistemi sviluppati in collaborazione con &lt;strong&gt;SOGEI&lt;/strong&gt; non si limitano a registrare le sessioni di gioco: analizzano in tempo reale i comportamenti tra diversi operatori grazie a un &lt;strong&gt;data sharing cross-concessionario&lt;/strong&gt;. Algoritmi predittivi segnalano anomalie prima che diventino criticit</w:t>
      </w:r>
      <w:r>
        <w:rPr>
          <w:rtl w:val="0"/>
        </w:rPr>
        <w:t>à</w:t>
      </w:r>
      <w:r>
        <w:rPr>
          <w:rtl w:val="0"/>
          <w:lang w:val="it-IT"/>
        </w:rPr>
        <w:t>, spostando il concetto di tutela del giocatore problematico da reattivo a preventivo.</w:t>
      </w:r>
    </w:p>
    <w:p>
      <w:pPr>
        <w:pStyle w:val="Corpo"/>
      </w:pPr>
      <w:r>
        <w:rPr>
          <w:rtl w:val="0"/>
          <w:lang w:val="it-IT"/>
        </w:rPr>
        <w:t xml:space="preserve">Il modello multi-sito sotto un'unica licenza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definitivamente chiuso dal &lt;strong&gt;13 novembre 2025&lt;/strong&gt;. Ogni attivit</w:t>
      </w:r>
      <w:r>
        <w:rPr>
          <w:rtl w:val="0"/>
        </w:rPr>
        <w:t xml:space="preserve">à </w:t>
      </w:r>
      <w:r>
        <w:rPr>
          <w:rtl w:val="0"/>
          <w:lang w:val="it-IT"/>
        </w:rPr>
        <w:t>di gioco legale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essere esercitata solo tramite un unico sito ufficiale comunicato all'ADM. I saldi dei giocatori sulle skin dismesse sono rimasti invariati con cashout garantito entro il 31 dicembre 2025. Chi vuole approfondire tutti i dettagli della transizione pu</w:t>
      </w:r>
      <w:r>
        <w:rPr>
          <w:rtl w:val="0"/>
          <w:lang w:val="it-IT"/>
        </w:rPr>
        <w:t xml:space="preserve">ò </w:t>
      </w:r>
      <w:r>
        <w:rPr>
          <w:rtl w:val="0"/>
          <w:lang w:val="it-IT"/>
        </w:rPr>
        <w:t>leggere l'analisi completa sulla &lt;a href="/news/attualita-e-industria/autoesclusione-parziale-e-fine-delle-skin-tutte-le-novita-da-adm.html"&gt;fine delle skin e le novit</w:t>
      </w:r>
      <w:r>
        <w:rPr>
          <w:rtl w:val="0"/>
        </w:rPr>
        <w:t xml:space="preserve">à </w:t>
      </w:r>
      <w:r>
        <w:rPr>
          <w:rtl w:val="0"/>
          <w:lang w:val="it-IT"/>
        </w:rPr>
        <w:t>ADM sull'autoesclusione parziale&lt;/a&gt;.</w:t>
      </w:r>
    </w:p>
    <w:p>
      <w:pPr>
        <w:pStyle w:val="Corpo"/>
      </w:pPr>
      <w:r>
        <w:rPr>
          <w:rtl w:val="0"/>
          <w:lang w:val="it-IT"/>
        </w:rPr>
        <w:t xml:space="preserve">I panel tecnici dell'IGE hanno messo al centro l'integrazione con &lt;strong&gt;SPID e i sistemi di autenticazione biometrica&lt;/strong&gt; nelle interlocuzioni tra ADM e operatori. L'obiettivo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un accesso univoco e certificato che elimini la duplicazione dei profili e renda operativa la &lt;strong&gt;Carta del Giocatore&lt;/strong&gt; con limiti di deposito centralizzati: un'infrastruttura tecnica che trasforma l'adempimento normativo in vantaggio competitivo per chi la implementa correttamente.</w:t>
      </w:r>
    </w:p>
    <w:p>
      <w:pPr>
        <w:pStyle w:val="Corpo"/>
      </w:pPr>
      <w:r>
        <w:rPr>
          <w:rtl w:val="0"/>
          <w:lang w:val="it-IT"/>
        </w:rPr>
        <w:t xml:space="preserve">Il paradigma ESG entra nel gaming a pieno titolo. All'IGE 2026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emerso con chiarezza che i criteri di &lt;strong&gt;Gioco Responsabile&lt;/strong&gt; non saranno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volontari: diventeranno requisiti obbligatori per il mantenimento della licenza. Protocolli di autoesclusione parziale, tetti di sessione e soglie di perdita individuale fanno parte integrante del contratto concessorio, trasformando la compliance da costo operativo a elemento di reputazione del brand.</w:t>
      </w:r>
    </w:p>
    <w:p>
      <w:pPr>
        <w:pStyle w:val="Corpo"/>
      </w:pPr>
      <w:r>
        <w:rPr>
          <w:rtl w:val="0"/>
          <w:lang w:val="it-IT"/>
        </w:rPr>
        <w:t>Il mercato italiano delle scommesse online non torner</w:t>
      </w:r>
      <w:r>
        <w:rPr>
          <w:rtl w:val="0"/>
        </w:rPr>
        <w:t xml:space="preserve">à </w:t>
      </w:r>
      <w:r>
        <w:rPr>
          <w:rtl w:val="0"/>
          <w:lang w:val="it-IT"/>
        </w:rPr>
        <w:t>al regime precedente. La concentrazione su 46 soggetti strutturati, la sorveglianza integrata SOGEI e l'obbligo ESG ridefiniscono le regole del gioco per il prossimo ciclo concessorio fino al 2036. Per gli scommettitori: meno frammentazione, pi</w:t>
      </w:r>
      <w:r>
        <w:rPr>
          <w:rtl w:val="0"/>
          <w:lang w:val="it-IT"/>
        </w:rPr>
        <w:t xml:space="preserve">ù </w:t>
      </w:r>
      <w:r>
        <w:rPr>
          <w:rtl w:val="0"/>
          <w:lang w:val="it-IT"/>
        </w:rPr>
        <w:t>sicurezza. Per gli operatori: meno margine, pi</w:t>
      </w:r>
      <w:r>
        <w:rPr>
          <w:rtl w:val="0"/>
          <w:lang w:val="it-IT"/>
        </w:rPr>
        <w:t xml:space="preserve">ù </w:t>
      </w:r>
      <w:r>
        <w:rPr>
          <w:rtl w:val="0"/>
          <w:lang w:val="fr-FR"/>
        </w:rPr>
        <w:t>responsabilit</w:t>
      </w:r>
      <w:r>
        <w:rPr>
          <w:rtl w:val="0"/>
        </w:rPr>
        <w:t>à</w:t>
      </w:r>
      <w:r>
        <w:rPr>
          <w:rtl w:val="0"/>
          <w:lang w:val="it-IT"/>
        </w:rPr>
        <w:t>. La scadenza tecnica del 14 maggio 2026 dir</w:t>
      </w:r>
      <w:r>
        <w:rPr>
          <w:rtl w:val="0"/>
        </w:rPr>
        <w:t xml:space="preserve">à </w:t>
      </w:r>
      <w:r>
        <w:rPr>
          <w:rtl w:val="0"/>
          <w:lang w:val="it-IT"/>
        </w:rPr>
        <w:t xml:space="preserve">chi </w:t>
      </w:r>
      <w:r>
        <w:rPr>
          <w:rtl w:val="0"/>
          <w:lang w:val="it-IT"/>
        </w:rPr>
        <w:t xml:space="preserve">è </w:t>
      </w:r>
      <w:r>
        <w:rPr>
          <w:rtl w:val="0"/>
          <w:lang w:val="it-IT"/>
        </w:rPr>
        <w:t>davvero pronto.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