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</w:pPr>
      <w:r>
        <w:rPr>
          <w:rFonts w:ascii="Cambria Bold" w:hAnsi="Cambria Bold"/>
          <w:rtl w:val="0"/>
          <w:lang w:val="en-US"/>
        </w:rPr>
        <w:t xml:space="preserve">SEO title: </w:t>
      </w:r>
      <w:r>
        <w:rPr>
          <w:rtl w:val="0"/>
          <w:lang w:val="it-IT"/>
        </w:rPr>
        <w:t>iGaming America Latina: cosa emerge dal BiS SiGMA South America 2026</w:t>
      </w:r>
    </w:p>
    <w:p>
      <w:pPr>
        <w:pStyle w:val="Corpo"/>
      </w:pPr>
      <w:r>
        <w:rPr>
          <w:rFonts w:ascii="Cambria Bold" w:hAnsi="Cambria Bold"/>
          <w:rtl w:val="0"/>
          <w:lang w:val="en-US"/>
        </w:rPr>
        <w:t xml:space="preserve">Meta description: </w:t>
      </w:r>
      <w:r>
        <w:rPr>
          <w:rtl w:val="0"/>
          <w:lang w:val="it-IT"/>
        </w:rPr>
        <w:t>Dal BiS SiGMA South America 2026 emerge un mercato in trasformazione: Legge 14.790, M&amp;A e AI ridisegnano il futuro degli operatori. Scopri cosa cambia in Brasile.</w:t>
      </w:r>
    </w:p>
    <w:p>
      <w:pPr>
        <w:pStyle w:val="Corpo"/>
      </w:pPr>
      <w:r>
        <w:rPr>
          <w:rFonts w:ascii="Cambria Bold" w:hAnsi="Cambria Bold"/>
          <w:rtl w:val="0"/>
          <w:lang w:val="en-US"/>
        </w:rPr>
        <w:t xml:space="preserve">Caption: </w:t>
      </w:r>
      <w:r>
        <w:rPr>
          <w:rtl w:val="0"/>
          <w:lang w:val="it-IT"/>
        </w:rPr>
        <w:t>BiS SiGMA South America 2026: iGaming LATAM in trasformazione</w:t>
      </w:r>
    </w:p>
    <w:p>
      <w:pPr>
        <w:pStyle w:val="Corpo"/>
      </w:pPr>
      <w:r>
        <w:rPr>
          <w:rtl w:val="0"/>
          <w:lang w:val="it-IT"/>
        </w:rPr>
        <w:t>&lt;strong&gt;San Paolo, aprile 2026. Il BiS SiGMA South America si conferma l'evento-specchio di un mercato continentale in transizione accelerata: nuova regolamentazione federale, pressione fiscale crescente e corsa tecnologica ridisegnano i confini dell'iGaming latinoamericano in tempo reale.&lt;/strong&gt;</w:t>
      </w:r>
    </w:p>
    <w:p>
      <w:pPr>
        <w:pStyle w:val="Corpo"/>
      </w:pPr>
      <w:r>
        <w:rPr>
          <w:rtl w:val="0"/>
          <w:lang w:val="it-IT"/>
        </w:rPr>
        <w:t>La &lt;strong&gt;Legge 14.790/2023&lt;/strong&gt; ha segnato l'anno zero della regolamentazione federale brasiliana. La Secretariat of Prizes and Betting (SPA) ha attivato un sistema di monitoraggio in tempo reale: gli operatori devono operare esclusivamente sotto dominio &lt;strong&gt;.bet.br&lt;/strong&gt;, accettare pagamenti solo via Pix e rinunciare alle carte di credito. Requisiti non negoziabili che ridefiniscono l'intero stack operativo di chi vuole restare nel mercato.</w:t>
      </w:r>
    </w:p>
    <w:p>
      <w:pPr>
        <w:pStyle w:val="Corpo"/>
      </w:pPr>
      <w:r>
        <w:rPr>
          <w:rtl w:val="0"/>
          <w:lang w:val="it-IT"/>
        </w:rPr>
        <w:t xml:space="preserve">La pressione fiscale parla chiaro. L'aumento proposto del prelievo sul &lt;strong&gt;GGR dal 12% al 18%&lt;/strong&gt; e il costo fisso della licenza a 30 milioni di real brasiliani hanno innescato un'ondata di consolidamento senza precedenti: da oltre 85 licenziatari provvisori, il mercato punta a stabilizzarsi attorno a circa 35 operatori strutturati. La coda lunga dei soggetti meno capitalizzati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destinata a sparire nel giro di pochi mesi.</w:t>
      </w:r>
    </w:p>
    <w:p>
      <w:pPr>
        <w:pStyle w:val="Corpo"/>
      </w:pPr>
      <w:r>
        <w:rPr>
          <w:rtl w:val="0"/>
          <w:lang w:val="it-IT"/>
        </w:rPr>
        <w:t>Il perimetro normativo si estende ai fornitori B2B. La nuova rete di licenze obbligatorie prevede che ogni provider tecnologico attivi una &lt;strong&gt;sede locale entro 120 giorni&lt;/strong&gt; dall'entrata in vigore della norma. Chi non rispetta la scadenza rischia l'esclusione automatica dal mercato brasiliano: una localizzazione obbligatoria che ridisegna la geografia dei partner tecnologici e impone investimenti diretti nel Paese.</w:t>
      </w:r>
    </w:p>
    <w:p>
      <w:pPr>
        <w:pStyle w:val="Corpo"/>
      </w:pPr>
      <w:r>
        <w:rPr>
          <w:rtl w:val="0"/>
          <w:lang w:val="it-IT"/>
        </w:rPr>
        <w:t>Sul piano tecnologico, il report &lt;a href="https://gaming.unlv.edu/" target="_blank" rel="noopener"&gt;"State of AI in Gaming 2026"&lt;/a&gt; firmato da UNLV e KPMG assegna all'industria un punteggio di governance dell'Intelligenza Artificiale di soli &lt;strong&gt;45 su 100&lt;/strong&gt;: ambizioni alte, maturit</w:t>
      </w:r>
      <w:r>
        <w:rPr>
          <w:rtl w:val="0"/>
        </w:rPr>
        <w:t xml:space="preserve">à </w:t>
      </w:r>
      <w:r>
        <w:rPr>
          <w:rtl w:val="0"/>
          <w:lang w:val="it-IT"/>
        </w:rPr>
        <w:t>operativa ancora bassa. Il riconoscimento facciale agganciato al codice fiscale brasiliano (CPF) resta lo strumento pi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>efficace per bloccare l'accesso ai minori e certificare la conformit</w:t>
      </w:r>
      <w:r>
        <w:rPr>
          <w:rtl w:val="0"/>
        </w:rPr>
        <w:t xml:space="preserve">à </w:t>
      </w:r>
      <w:r>
        <w:rPr>
          <w:rtl w:val="0"/>
          <w:lang w:val="it-IT"/>
        </w:rPr>
        <w:t>al Gioco Responsabile.</w:t>
      </w:r>
    </w:p>
    <w:p>
      <w:pPr>
        <w:pStyle w:val="Corpo"/>
      </w:pPr>
      <w:r>
        <w:rPr>
          <w:rtl w:val="0"/>
          <w:lang w:val="it-IT"/>
        </w:rPr>
        <w:t>I dati di engagement non lasciano spazio a interpretazioni. &lt;strong&gt;Aviator e JetX&lt;/strong&gt; dominano le classifiche di sessione sul mercato brasiliano, confermando il primato dei crash game ad alta volatilit</w:t>
      </w:r>
      <w:r>
        <w:rPr>
          <w:rtl w:val="0"/>
        </w:rPr>
        <w:t xml:space="preserve">à </w:t>
      </w:r>
      <w:r>
        <w:rPr>
          <w:rtl w:val="0"/>
          <w:lang w:val="it-IT"/>
        </w:rPr>
        <w:t>sul casin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>tradizionale. Accanto a loro emerge l'eVaquejada, sport virtuale che ibridizza la cultura rodeo con le meccaniche di scommessa digitale: un modello di localizzazione culturale nel betting LATAM&lt;/a&gt; che apre nuove traiettorie per i content provider B2B.</w:t>
      </w:r>
    </w:p>
    <w:p>
      <w:pPr>
        <w:pStyle w:val="Corpo"/>
      </w:pPr>
      <w:r>
        <w:rPr>
          <w:rtl w:val="0"/>
          <w:lang w:val="it-IT"/>
        </w:rPr>
        <w:t xml:space="preserve">Le regole del </w:t>
      </w:r>
      <w:r>
        <w:rPr>
          <w:rtl w:val="0"/>
          <w:lang w:val="it-IT"/>
        </w:rPr>
        <w:t>&lt;a href="/news/attualita-e-industria/google-ads-e-il-gioco-dazzardo-le-nuove-regole-di-marzo-2026.html"&gt;</w:t>
      </w:r>
      <w:r>
        <w:rPr>
          <w:rtl w:val="0"/>
          <w:lang w:val="it-IT"/>
        </w:rPr>
        <w:t>marketing cambiano radicalmente</w:t>
      </w:r>
      <w:r>
        <w:rPr>
          <w:rtl w:val="0"/>
        </w:rPr>
        <w:t>&lt;/a&gt;</w:t>
      </w:r>
      <w:r>
        <w:rPr>
          <w:rtl w:val="0"/>
          <w:lang w:val="it-IT"/>
        </w:rPr>
        <w:t>. Il divieto di bonus di benvenuto e &lt;strong&gt;l'esclusione degli atleti professionisti attivi dalla pubblicit</w:t>
      </w:r>
      <w:r>
        <w:rPr>
          <w:rtl w:val="0"/>
        </w:rPr>
        <w:t>à</w:t>
      </w:r>
      <w:r>
        <w:rPr>
          <w:rtl w:val="0"/>
          <w:lang w:val="it-IT"/>
        </w:rPr>
        <w:t>&lt;/strong&gt; segnano la fine dell'era promozionale aggressiva. Con un mercato latinoamericano stimato a 12 miliardi di dollari entro il 2028 e la possibile legalizzazione dei casin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 xml:space="preserve">fisici in Brasile entro il 2027, l'America Latina non </w:t>
      </w:r>
      <w:r>
        <w:rPr>
          <w:rtl w:val="0"/>
          <w:lang w:val="it-IT"/>
        </w:rPr>
        <w:t xml:space="preserve">è </w:t>
      </w:r>
      <w:r>
        <w:rPr>
          <w:rtl w:val="0"/>
        </w:rPr>
        <w:t>pi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 xml:space="preserve">solo un mercato da monitorare: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il laboratorio normativo e tecnologico pi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>osservato del settore iGaming globale.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