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88D2" w14:textId="77777777" w:rsidR="00C63C80" w:rsidRDefault="00C63C80" w:rsidP="00C63C80">
      <w:r>
        <w:t>SEO Title: Devin Booker scommette 1 milione sul Super Bowl: NBA reagisce</w:t>
      </w:r>
    </w:p>
    <w:p w14:paraId="57E6CDD5" w14:textId="77777777" w:rsidR="00C63C80" w:rsidRDefault="00C63C80" w:rsidP="00C63C80">
      <w:r>
        <w:t xml:space="preserve">Meta </w:t>
      </w:r>
      <w:proofErr w:type="spellStart"/>
      <w:r>
        <w:t>description</w:t>
      </w:r>
      <w:proofErr w:type="spellEnd"/>
      <w:r>
        <w:t xml:space="preserve">: Devin Booker scommette $1 milione sul Super Bowl: scopri come la NBA reagisce agli scandali con nuove restrizioni sulle </w:t>
      </w:r>
      <w:proofErr w:type="spellStart"/>
      <w:r>
        <w:t>prop</w:t>
      </w:r>
      <w:proofErr w:type="spellEnd"/>
      <w:r>
        <w:t xml:space="preserve"> </w:t>
      </w:r>
      <w:proofErr w:type="spellStart"/>
      <w:r>
        <w:t>bets</w:t>
      </w:r>
      <w:proofErr w:type="spellEnd"/>
      <w:r>
        <w:t>.</w:t>
      </w:r>
    </w:p>
    <w:p w14:paraId="4C7353A6" w14:textId="77777777" w:rsidR="00C63C80" w:rsidRDefault="00C63C80" w:rsidP="00C63C80">
      <w:proofErr w:type="spellStart"/>
      <w:r>
        <w:t>Caption</w:t>
      </w:r>
      <w:proofErr w:type="spellEnd"/>
      <w:r>
        <w:t>: Booker scommette $1 milione mentre la NBA irrigidisce le regole.</w:t>
      </w:r>
    </w:p>
    <w:p w14:paraId="7F5CD706" w14:textId="77777777" w:rsidR="00C63C80" w:rsidRDefault="00C63C80" w:rsidP="00C63C80"/>
    <w:p w14:paraId="27B20B93" w14:textId="77777777" w:rsidR="00C63C80" w:rsidRDefault="00C63C80" w:rsidP="00C63C80">
      <w:r>
        <w:t xml:space="preserve">&lt;strong&gt;INTRO – La stella dei Phoenix Suns Devin Booker ha piazzato una scommessa da $1 milione sul Super Bowl LX tramite </w:t>
      </w:r>
      <w:proofErr w:type="spellStart"/>
      <w:r>
        <w:t>Fanatics</w:t>
      </w:r>
      <w:proofErr w:type="spellEnd"/>
      <w:r>
        <w:t xml:space="preserve"> </w:t>
      </w:r>
      <w:proofErr w:type="spellStart"/>
      <w:r>
        <w:t>Sportsbook</w:t>
      </w:r>
      <w:proofErr w:type="spellEnd"/>
      <w:r>
        <w:t xml:space="preserve">. L'operazione, resa pubblica su Instagram, riaccende il dibattito sull'integrità sportiva mentre la NBA implementa nuove restrizioni sulle scommesse </w:t>
      </w:r>
      <w:proofErr w:type="gramStart"/>
      <w:r>
        <w:t>individuali.&lt;</w:t>
      </w:r>
      <w:proofErr w:type="gramEnd"/>
      <w:r>
        <w:t>/strong&gt;</w:t>
      </w:r>
    </w:p>
    <w:p w14:paraId="7472CCC2" w14:textId="77777777" w:rsidR="00C63C80" w:rsidRDefault="00C63C80" w:rsidP="00C63C80"/>
    <w:p w14:paraId="73261DD1" w14:textId="77777777" w:rsidR="00C63C80" w:rsidRDefault="00C63C80" w:rsidP="00C63C80">
      <w:r>
        <w:t xml:space="preserve">&lt;h2&gt;La scommessa milionaria e il caso </w:t>
      </w:r>
      <w:proofErr w:type="spellStart"/>
      <w:r>
        <w:t>Fanatics</w:t>
      </w:r>
      <w:proofErr w:type="spellEnd"/>
      <w:r>
        <w:t>&lt;/h2&gt;</w:t>
      </w:r>
    </w:p>
    <w:p w14:paraId="1852D7FC" w14:textId="77777777" w:rsidR="00C63C80" w:rsidRDefault="00C63C80" w:rsidP="00C63C80"/>
    <w:p w14:paraId="3D34982B" w14:textId="77777777" w:rsidR="00C63C80" w:rsidRDefault="00C63C80" w:rsidP="00C63C80">
      <w:r>
        <w:t xml:space="preserve">Il 30 gennaio 2026, Devin Booker ha ufficializzato una puntata da $1 milione sui Seattle Seahawks contro i New </w:t>
      </w:r>
      <w:proofErr w:type="spellStart"/>
      <w:r>
        <w:t>England</w:t>
      </w:r>
      <w:proofErr w:type="spellEnd"/>
      <w:r>
        <w:t xml:space="preserve"> Patriots nel Super Bowl LX, coprendo uno spread di 3,5 punti. Con una quota di 125, il giocatore NBA potrebbe incassare &lt;strong&gt;$1,8 milioni in caso di vittoria&lt;/strong&gt;, realizzando un profitto netto di $800.000 attraverso la piattaforma </w:t>
      </w:r>
      <w:proofErr w:type="spellStart"/>
      <w:r>
        <w:t>Fanatics</w:t>
      </w:r>
      <w:proofErr w:type="spellEnd"/>
      <w:r>
        <w:t xml:space="preserve"> </w:t>
      </w:r>
      <w:proofErr w:type="spellStart"/>
      <w:r>
        <w:t>Sportsbook</w:t>
      </w:r>
      <w:proofErr w:type="spellEnd"/>
      <w:r>
        <w:t xml:space="preserve"> gestita da Michael Rubin.</w:t>
      </w:r>
    </w:p>
    <w:p w14:paraId="25BE7740" w14:textId="77777777" w:rsidR="00C63C80" w:rsidRDefault="00C63C80" w:rsidP="00C63C80"/>
    <w:p w14:paraId="16F18C9F" w14:textId="440D8784" w:rsidR="00C63C80" w:rsidRDefault="00C63C80" w:rsidP="00C63C80">
      <w:r>
        <w:t>La scommessa nasce da un'interazione virale su Instagram con la sua ex compagna Kendall Jenner, testimonial della campagna "</w:t>
      </w:r>
      <w:proofErr w:type="spellStart"/>
      <w:r>
        <w:t>Bet</w:t>
      </w:r>
      <w:proofErr w:type="spellEnd"/>
      <w:r>
        <w:t xml:space="preserve"> on Kendall" di </w:t>
      </w:r>
      <w:proofErr w:type="spellStart"/>
      <w:r>
        <w:t>Fanatics</w:t>
      </w:r>
      <w:proofErr w:type="spellEnd"/>
      <w:r>
        <w:t xml:space="preserve">. Jenner ha puntato lo stesso importo sulla </w:t>
      </w:r>
      <w:proofErr w:type="spellStart"/>
      <w:r>
        <w:t>moneyline</w:t>
      </w:r>
      <w:proofErr w:type="spellEnd"/>
      <w:r>
        <w:t xml:space="preserve"> dei Patriots con quota +188</w:t>
      </w:r>
      <w:r w:rsidR="00C8261C">
        <w:t xml:space="preserve"> (2.88)</w:t>
      </w:r>
      <w:r>
        <w:t>, creando una &lt;strong&gt;rivalità mediatica che trasforma il betting&lt;/strong&gt; in performance sociale destinata a milioni di follower attraverso i canali social della celebrity.</w:t>
      </w:r>
    </w:p>
    <w:p w14:paraId="4BAC7658" w14:textId="77777777" w:rsidR="00C63C80" w:rsidRDefault="00C63C80" w:rsidP="00C63C80"/>
    <w:p w14:paraId="3244EBDB" w14:textId="77777777" w:rsidR="00C63C80" w:rsidRDefault="00C63C80" w:rsidP="00C63C80">
      <w:r>
        <w:t>Il volume totale delle scommesse per il Super Bowl LX è stimato in $1,5 miliardi, segnando un calo del 2% rispetto all'anno precedente nonostante l'espansione legale in stati come il Missouri. Gli analisti interpretano questo dato come segnale di &lt;strong&gt;saturazione del mercato retail&lt;/strong&gt;, controbilanciata dalle puntate milionarie di celebrità che generano visibilità mediatica e attirano nuovi utenti.</w:t>
      </w:r>
    </w:p>
    <w:p w14:paraId="1918FAE4" w14:textId="77777777" w:rsidR="00C63C80" w:rsidRDefault="00C63C80" w:rsidP="00C63C80"/>
    <w:p w14:paraId="6E5DB77F" w14:textId="77777777" w:rsidR="00C63C80" w:rsidRDefault="00C63C80" w:rsidP="00C63C80">
      <w:r>
        <w:t xml:space="preserve">La campagna </w:t>
      </w:r>
      <w:proofErr w:type="spellStart"/>
      <w:r>
        <w:t>Fanatics</w:t>
      </w:r>
      <w:proofErr w:type="spellEnd"/>
      <w:r>
        <w:t xml:space="preserve"> sfrutta la narrativa della "Kardashian </w:t>
      </w:r>
      <w:proofErr w:type="spellStart"/>
      <w:r>
        <w:t>Curse</w:t>
      </w:r>
      <w:proofErr w:type="spellEnd"/>
      <w:r>
        <w:t>", trasformando una superstizione digitale in meccanica di scommessa. L'operatore capitalizza sul legame parasociale tra Jenner e i suoi follower, molti dei quali non sono scommettitori abituali, &lt;strong&gt;normalizzando il betting come partecipazione culturale&lt;/strong&gt; piuttosto che semplice gioco d'azzardo secondo strategie di marketing innovative.</w:t>
      </w:r>
    </w:p>
    <w:p w14:paraId="1C556598" w14:textId="77777777" w:rsidR="00C63C80" w:rsidRDefault="00C63C80" w:rsidP="00C63C80"/>
    <w:p w14:paraId="1327459F" w14:textId="77777777" w:rsidR="00C63C80" w:rsidRDefault="00C63C80" w:rsidP="00C63C80">
      <w:r>
        <w:t xml:space="preserve">&lt;h2&gt;NBA stringe le maglie contro le </w:t>
      </w:r>
      <w:proofErr w:type="spellStart"/>
      <w:r>
        <w:t>prop</w:t>
      </w:r>
      <w:proofErr w:type="spellEnd"/>
      <w:r>
        <w:t xml:space="preserve"> </w:t>
      </w:r>
      <w:proofErr w:type="spellStart"/>
      <w:r>
        <w:t>bets</w:t>
      </w:r>
      <w:proofErr w:type="spellEnd"/>
      <w:r>
        <w:t>&lt;/h2&gt;</w:t>
      </w:r>
    </w:p>
    <w:p w14:paraId="64A6B096" w14:textId="77777777" w:rsidR="00C63C80" w:rsidRDefault="00C63C80" w:rsidP="00C63C80"/>
    <w:p w14:paraId="69D163CD" w14:textId="77777777" w:rsidR="00C63C80" w:rsidRDefault="00C63C80" w:rsidP="00C63C80">
      <w:r>
        <w:t xml:space="preserve">La scommessa di Booker arriva mentre la NBA affronta una crisi di integrità senza precedenti. Nel 2024, </w:t>
      </w:r>
      <w:proofErr w:type="spellStart"/>
      <w:r>
        <w:t>Jontay</w:t>
      </w:r>
      <w:proofErr w:type="spellEnd"/>
      <w:r>
        <w:t xml:space="preserve"> Porter dei Toronto </w:t>
      </w:r>
      <w:proofErr w:type="spellStart"/>
      <w:r>
        <w:t>Raptors</w:t>
      </w:r>
      <w:proofErr w:type="spellEnd"/>
      <w:r>
        <w:t xml:space="preserve"> ha ricevuto un bando a vita per aver manipolato le proprie prestazioni e fornito &lt;strong&gt;informazioni riservate a scommettitori&lt;/strong&gt; per coprire debiti di gioco personali. A dicembre 2025, la lega è stata scossa dagli arresti di alto profilo che hanno coinvolto figure note.</w:t>
      </w:r>
    </w:p>
    <w:p w14:paraId="20EE8C3C" w14:textId="77777777" w:rsidR="00C63C80" w:rsidRDefault="00C63C80" w:rsidP="00C63C80"/>
    <w:p w14:paraId="7A86AEB0" w14:textId="77777777" w:rsidR="00C63C80" w:rsidRDefault="00C63C80" w:rsidP="00C63C80">
      <w:r>
        <w:t>In risposta, la NBA ha inviato un memorandum a tutte le 30 franchigie delineando cambiamenti strutturali. Le squadre devono presentare report ufficiali sugli infortuni tra le 11:00 e le 13:00 dei giorni di gara, con &lt;strong&gt;aggiornamenti pubblici su NBA.com ogni 15 minuti&lt;/strong&gt;. Questa misura neutralizza il valore delle informazioni insider, garantendo accesso simultaneo agli scommettitori professionisti e al pubblico.</w:t>
      </w:r>
    </w:p>
    <w:p w14:paraId="1BE88E6D" w14:textId="77777777" w:rsidR="00C63C80" w:rsidRDefault="00C63C80" w:rsidP="00C63C80"/>
    <w:p w14:paraId="43ACA212" w14:textId="71341A66" w:rsidR="00C63C80" w:rsidRDefault="00C63C80" w:rsidP="00C63C80">
      <w:r>
        <w:t xml:space="preserve">La lega sta negoziando con </w:t>
      </w:r>
      <w:proofErr w:type="spellStart"/>
      <w:r>
        <w:t>FanDuel</w:t>
      </w:r>
      <w:proofErr w:type="spellEnd"/>
      <w:r>
        <w:t xml:space="preserve">, </w:t>
      </w:r>
      <w:proofErr w:type="spellStart"/>
      <w:r>
        <w:t>DraftKings</w:t>
      </w:r>
      <w:proofErr w:type="spellEnd"/>
      <w:r>
        <w:t xml:space="preserve"> e </w:t>
      </w:r>
      <w:proofErr w:type="spellStart"/>
      <w:r>
        <w:t>BetMGM</w:t>
      </w:r>
      <w:proofErr w:type="spellEnd"/>
      <w:r>
        <w:t xml:space="preserve"> per limitare le scommesse sull'under per giocatori con contratti precari da </w:t>
      </w:r>
      <w:proofErr w:type="gramStart"/>
      <w:r>
        <w:t>10</w:t>
      </w:r>
      <w:proofErr w:type="gramEnd"/>
      <w:r>
        <w:t xml:space="preserve"> giorni, considerati più vulnerabili a causa dell'instabilità economica. Il </w:t>
      </w:r>
      <w:proofErr w:type="spellStart"/>
      <w:r>
        <w:t>Commissioner</w:t>
      </w:r>
      <w:proofErr w:type="spellEnd"/>
      <w:r>
        <w:t xml:space="preserve"> Adam Silver ha proposto di &lt;strong&gt;eliminare mercati legati a singole giocate&lt;/strong&gt; come il prossimo fallo o tiro libero, eventi interamente sotto il controllo del singolo atleta. Per approfondire le dinamiche, è utile consultare il &lt;a href="</w:t>
      </w:r>
      <w:hyperlink r:id="rId4" w:history="1">
        <w:r w:rsidRPr="00E1299C">
          <w:rPr>
            <w:rStyle w:val="Collegamentoipertestuale"/>
          </w:rPr>
          <w:t>https://www.espn.com/nba/story/_/id/47361909/nba-outlines-injury-info-prop-betting-changes-memo-teams</w:t>
        </w:r>
      </w:hyperlink>
      <w:r>
        <w:t>" target="_blank"&gt;report ESPN sulle nuove policy NBA&lt;/a&gt; pubblicato dalla testata americana.</w:t>
      </w:r>
    </w:p>
    <w:p w14:paraId="50D26867" w14:textId="77777777" w:rsidR="00C63C80" w:rsidRDefault="00C63C80" w:rsidP="00C63C80"/>
    <w:p w14:paraId="6D58AA56" w14:textId="3678C638" w:rsidR="008727F7" w:rsidRPr="00C63C80" w:rsidRDefault="00C63C80" w:rsidP="00C63C80">
      <w:r>
        <w:t xml:space="preserve">Gli Stati Uniti operano sotto un regime di regolamentazione frammentata, con 39 stati che hanno legalizzato le scommesse ma con differenze operative marcate. New York sta valutando il divieto totale di determinate </w:t>
      </w:r>
      <w:proofErr w:type="spellStart"/>
      <w:r>
        <w:t>prop</w:t>
      </w:r>
      <w:proofErr w:type="spellEnd"/>
      <w:r>
        <w:t xml:space="preserve"> </w:t>
      </w:r>
      <w:proofErr w:type="spellStart"/>
      <w:r>
        <w:t>bets</w:t>
      </w:r>
      <w:proofErr w:type="spellEnd"/>
      <w:r>
        <w:t xml:space="preserve"> per prevenire molestie coordinate contro giocatori, mentre l'Ohio ha imposto un &lt;strong&gt;limite di $200 sulle scommesse MLB&lt;/strong&gt; dopo scandali universitari. Per i player italiani, è utile seguire come evolvono le &lt;a href="</w:t>
      </w:r>
      <w:hyperlink r:id="rId5" w:history="1">
        <w:r w:rsidRPr="00E1299C">
          <w:rPr>
            <w:rStyle w:val="Collegamentoipertestuale"/>
          </w:rPr>
          <w:t>https://www.sitiscommesse.com/news/attualita-industria/</w:t>
        </w:r>
      </w:hyperlink>
      <w:r>
        <w:t>"&gt;normative sull'integrità nelle scommesse&lt;/a&gt; anche nei campionati europei.</w:t>
      </w:r>
    </w:p>
    <w:sectPr w:rsidR="008727F7" w:rsidRPr="00C63C8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C80"/>
    <w:rsid w:val="00737DD4"/>
    <w:rsid w:val="008727F7"/>
    <w:rsid w:val="00C63C80"/>
    <w:rsid w:val="00C8261C"/>
    <w:rsid w:val="00DA52A2"/>
    <w:rsid w:val="00DB7EAD"/>
    <w:rsid w:val="00DD6A3A"/>
    <w:rsid w:val="00E1299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56CAEA2"/>
  <w15:chartTrackingRefBased/>
  <w15:docId w15:val="{D0BF1D65-C0A9-B24F-8C13-4769CF47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63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63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63C8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63C8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63C8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63C8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63C8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63C8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63C8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63C8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63C8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63C8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63C8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63C8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63C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63C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63C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63C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63C8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63C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63C8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63C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63C8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63C80"/>
    <w:rPr>
      <w:i/>
      <w:iCs/>
      <w:color w:val="404040" w:themeColor="text1" w:themeTint="BF"/>
    </w:rPr>
  </w:style>
  <w:style w:type="paragraph" w:styleId="Paragrafoelenco">
    <w:name w:val="List Paragraph"/>
    <w:basedOn w:val="Normale"/>
    <w:uiPriority w:val="34"/>
    <w:qFormat/>
    <w:rsid w:val="00C63C80"/>
    <w:pPr>
      <w:ind w:left="720"/>
      <w:contextualSpacing/>
    </w:pPr>
  </w:style>
  <w:style w:type="character" w:styleId="Enfasiintensa">
    <w:name w:val="Intense Emphasis"/>
    <w:basedOn w:val="Carpredefinitoparagrafo"/>
    <w:uiPriority w:val="21"/>
    <w:qFormat/>
    <w:rsid w:val="00C63C80"/>
    <w:rPr>
      <w:i/>
      <w:iCs/>
      <w:color w:val="0F4761" w:themeColor="accent1" w:themeShade="BF"/>
    </w:rPr>
  </w:style>
  <w:style w:type="paragraph" w:styleId="Citazioneintensa">
    <w:name w:val="Intense Quote"/>
    <w:basedOn w:val="Normale"/>
    <w:next w:val="Normale"/>
    <w:link w:val="CitazioneintensaCarattere"/>
    <w:uiPriority w:val="30"/>
    <w:qFormat/>
    <w:rsid w:val="00C63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63C80"/>
    <w:rPr>
      <w:i/>
      <w:iCs/>
      <w:color w:val="0F4761" w:themeColor="accent1" w:themeShade="BF"/>
    </w:rPr>
  </w:style>
  <w:style w:type="character" w:styleId="Riferimentointenso">
    <w:name w:val="Intense Reference"/>
    <w:basedOn w:val="Carpredefinitoparagrafo"/>
    <w:uiPriority w:val="32"/>
    <w:qFormat/>
    <w:rsid w:val="00C63C80"/>
    <w:rPr>
      <w:b/>
      <w:bCs/>
      <w:smallCaps/>
      <w:color w:val="0F4761" w:themeColor="accent1" w:themeShade="BF"/>
      <w:spacing w:val="5"/>
    </w:rPr>
  </w:style>
  <w:style w:type="character" w:styleId="Collegamentoipertestuale">
    <w:name w:val="Hyperlink"/>
    <w:basedOn w:val="Carpredefinitoparagrafo"/>
    <w:uiPriority w:val="99"/>
    <w:unhideWhenUsed/>
    <w:rsid w:val="00E1299C"/>
    <w:rPr>
      <w:color w:val="467886" w:themeColor="hyperlink"/>
      <w:u w:val="single"/>
    </w:rPr>
  </w:style>
  <w:style w:type="character" w:styleId="Menzionenonrisolta">
    <w:name w:val="Unresolved Mention"/>
    <w:basedOn w:val="Carpredefinitoparagrafo"/>
    <w:uiPriority w:val="99"/>
    <w:semiHidden/>
    <w:unhideWhenUsed/>
    <w:rsid w:val="00E12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itiscommesse.com/news/attualita-e-industria/" TargetMode="External"/><Relationship Id="rId4" Type="http://schemas.openxmlformats.org/officeDocument/2006/relationships/hyperlink" Target="https://www.espn.com/nba/story/_/id/47361909/nba-outlines-injury-info-prop-betting-changes-memo-team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692</Words>
  <Characters>3949</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Lattuada</dc:creator>
  <cp:keywords/>
  <dc:description/>
  <cp:lastModifiedBy>Alberto Lattuada</cp:lastModifiedBy>
  <cp:revision>2</cp:revision>
  <dcterms:created xsi:type="dcterms:W3CDTF">2026-02-03T12:20:00Z</dcterms:created>
  <dcterms:modified xsi:type="dcterms:W3CDTF">2026-02-04T06:59:00Z</dcterms:modified>
</cp:coreProperties>
</file>