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EEDC" w14:textId="77777777" w:rsidR="00B93D58" w:rsidRDefault="00000000">
      <w:pPr>
        <w:spacing w:after="120"/>
      </w:pPr>
      <w:r>
        <w:rPr>
          <w:b/>
          <w:bCs/>
        </w:rPr>
        <w:t>SEO Title: Caso AGCOM Kick e Decreto Dignità: cosa cambia nel 2026</w:t>
      </w:r>
    </w:p>
    <w:p w14:paraId="67853687" w14:textId="77777777" w:rsidR="00B93D58" w:rsidRDefault="00000000">
      <w:pPr>
        <w:spacing w:after="120"/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 AGCOM archivia il caso Kick, la Corte UE dichiara il divieto inopponibile. Ecco cosa cambia per bookmaker e scommettitori con la riforma 2026.</w:t>
      </w:r>
    </w:p>
    <w:p w14:paraId="7C89CA42" w14:textId="77777777" w:rsidR="00B93D58" w:rsidRDefault="00000000">
      <w:pPr>
        <w:spacing w:after="120"/>
      </w:pPr>
      <w:proofErr w:type="spellStart"/>
      <w:r>
        <w:rPr>
          <w:b/>
          <w:bCs/>
        </w:rPr>
        <w:t>Caption</w:t>
      </w:r>
      <w:proofErr w:type="spellEnd"/>
      <w:r>
        <w:rPr>
          <w:b/>
          <w:bCs/>
        </w:rPr>
        <w:t>: AGCOM archivia Kick, il Decreto Dignità verso la riforma.</w:t>
      </w:r>
    </w:p>
    <w:p w14:paraId="4D21316C" w14:textId="77777777" w:rsidR="00B93D58" w:rsidRDefault="00B93D58">
      <w:pPr>
        <w:spacing w:after="200"/>
      </w:pPr>
    </w:p>
    <w:p w14:paraId="0D71E836" w14:textId="77777777" w:rsidR="00B93D58" w:rsidRDefault="00000000">
      <w:pPr>
        <w:spacing w:before="200" w:after="200"/>
      </w:pPr>
      <w:r>
        <w:t xml:space="preserve">&lt;strong&gt;L'archiviazione del procedimento AGCOM contro Kick Streaming e la sentenza della Corte di Giustizia UE ridisegnano il quadro normativo del gioco in Italia. Il divieto pubblicitario del 2018 mostra crepe evidenti, mentre bookmaker e vertici dello sport prendono posizione in vista di un 2026 </w:t>
      </w:r>
      <w:proofErr w:type="gramStart"/>
      <w:r>
        <w:t>decisivo.&lt;</w:t>
      </w:r>
      <w:proofErr w:type="gramEnd"/>
      <w:r>
        <w:t>/strong&gt;</w:t>
      </w:r>
    </w:p>
    <w:p w14:paraId="65E60946" w14:textId="77777777" w:rsidR="00B93D58" w:rsidRDefault="00000000">
      <w:pPr>
        <w:spacing w:before="200" w:after="200"/>
      </w:pPr>
      <w:r>
        <w:t>&lt;h2&gt;AGCOM archivia il caso Kick: i fatti&lt;/h2&gt;</w:t>
      </w:r>
    </w:p>
    <w:p w14:paraId="44FEC255" w14:textId="77777777" w:rsidR="00B93D58" w:rsidRDefault="00000000">
      <w:pPr>
        <w:spacing w:before="100" w:after="200"/>
        <w:jc w:val="both"/>
      </w:pPr>
      <w:r>
        <w:t>La delibera 279/25/CONS, adottata il 18 novembre 2025, ha chiuso senza sanzioni il procedimento contro Kick Streaming Pty Ltd. L'Autorità per le Garanzie nelle Comunicazioni non ha potuto dimostrare un &lt;strong&gt;coinvolgimento editoriale attivo della piattaforma&lt;/strong&gt; nella promozione del gioco d'azzardo verso il pubblico italiano.</w:t>
      </w:r>
    </w:p>
    <w:p w14:paraId="7C72130A" w14:textId="77777777" w:rsidR="00B93D58" w:rsidRDefault="00000000">
      <w:pPr>
        <w:spacing w:before="100" w:after="200"/>
        <w:jc w:val="both"/>
      </w:pPr>
      <w:r>
        <w:t>Per sanzionare un hosting provider ai sensi del Decreto Dignità serve la prova di un nesso economico univoco: contratti di partnership, remunerazione diretta, una call to action orchestrata. Nel caso Kick, i contenuti erano &lt;strong&gt;generati dagli utenti senza compensi tracciabili&lt;/strong&gt; e la piattaforma si limitava a ospitarli.</w:t>
      </w:r>
    </w:p>
    <w:p w14:paraId="3F515082" w14:textId="77777777" w:rsidR="00B93D58" w:rsidRDefault="00000000">
      <w:pPr>
        <w:spacing w:before="100" w:after="200"/>
        <w:jc w:val="both"/>
      </w:pPr>
      <w:r>
        <w:t xml:space="preserve">Il confronto con i precedenti è netto. Google </w:t>
      </w:r>
      <w:proofErr w:type="spellStart"/>
      <w:r>
        <w:t>Ireland</w:t>
      </w:r>
      <w:proofErr w:type="spellEnd"/>
      <w:r>
        <w:t xml:space="preserve"> ha ricevuto 2,25 milioni di euro di sanzione per indicizzazione algoritmica di contenuti di gioco. X ha pagato 1,35 milioni per annunci non rimossi. Due </w:t>
      </w:r>
      <w:proofErr w:type="spellStart"/>
      <w:r>
        <w:t>content</w:t>
      </w:r>
      <w:proofErr w:type="spellEnd"/>
      <w:r>
        <w:t xml:space="preserve"> creator di YouTube sono stati &lt;strong&gt;sanzionati con 60.000 e 75.000 euro&lt;/strong&gt; per partnership consapevoli con operatori. Kick, invece, è uscita indenne.</w:t>
      </w:r>
    </w:p>
    <w:p w14:paraId="2D8A5808" w14:textId="77777777" w:rsidR="00B93D58" w:rsidRDefault="00000000">
      <w:pPr>
        <w:spacing w:before="200" w:after="200"/>
      </w:pPr>
      <w:r>
        <w:t>&lt;h2&gt;Sentenza CGUE e nodo normativo: il punto&lt;/h2&gt;</w:t>
      </w:r>
    </w:p>
    <w:p w14:paraId="2F5FE55A" w14:textId="77777777" w:rsidR="00B93D58" w:rsidRDefault="00000000">
      <w:pPr>
        <w:spacing w:before="100" w:after="200"/>
        <w:jc w:val="both"/>
      </w:pPr>
      <w:r>
        <w:t>La sentenza della &lt;a href="https://curia.europa.eu/juris/document/document.jsf?docid=296555&amp;doclang=IT" target="_blank"&gt;Corte di Giustizia UE del 13 marzo 2025&lt;/a&gt; (causa C‑120/24, "</w:t>
      </w:r>
      <w:proofErr w:type="spellStart"/>
      <w:r>
        <w:t>Unigames</w:t>
      </w:r>
      <w:proofErr w:type="spellEnd"/>
      <w:r>
        <w:t xml:space="preserve">") ha stabilito che i divieti nazionali sulla pubblicità del gambling online sono &lt;strong&gt;"regole tecniche" ai sensi della direttiva 2015/1535&lt;/strong&gt; e vanno notificati alla Commissione Europea prima dell'adozione. Il Decreto Dignità, approvato nel 2018 come </w:t>
      </w:r>
      <w:proofErr w:type="gramStart"/>
      <w:r>
        <w:t>decreto legge</w:t>
      </w:r>
      <w:proofErr w:type="gramEnd"/>
      <w:r>
        <w:t>, non è mai stato notificato.</w:t>
      </w:r>
    </w:p>
    <w:p w14:paraId="0CEE7B40" w14:textId="77777777" w:rsidR="00B93D58" w:rsidRDefault="00000000">
      <w:pPr>
        <w:spacing w:before="100" w:after="200"/>
        <w:jc w:val="both"/>
      </w:pPr>
      <w:r>
        <w:t>Quell'omissione comporta, secondo la giurisprudenza costante della Corte, l'&lt;strong&gt;inopponibilità della norma agli operatori economici&lt;/strong&gt;. Qualsiasi bookmaker può eccepire davanti a un giudice italiano che il divieto non si applica nei propri confronti. La risoluzione approvata in Commissione Cultura del Senato il 5 marzo 2025 ha preso atto dello stallo, impegnando l'esecutivo a intervenire sull'articolo 9. Ad oggi, nessun giudice italiano ha dichiarato il divieto inapplicabile in blocco.</w:t>
      </w:r>
    </w:p>
    <w:p w14:paraId="33FAF9A7" w14:textId="77777777" w:rsidR="00B93D58" w:rsidRDefault="00000000">
      <w:pPr>
        <w:spacing w:before="100" w:after="200"/>
        <w:jc w:val="both"/>
      </w:pPr>
      <w:r>
        <w:t>I numeri di contesto confermano il paradosso. I dati MEF/ADM 2024 registrano una raccolta complessiva di 157,4 miliardi di euro (+6,6%), con l'online oltre i 92 miliardi (+12,2%). Il gettito erariale, però, è sceso a 11,5 miliardi dai 11,6 del 2023: il gioco a distanza &lt;strong&gt;gode di aliquote inferiori rispetto al fisico&lt;/strong&gt;. Il divieto pubblicitario non ha ridotto le giocate, che hanno toccato livelli mai registrati.</w:t>
      </w:r>
    </w:p>
    <w:p w14:paraId="3E48465F" w14:textId="77777777" w:rsidR="00B93D58" w:rsidRDefault="00000000">
      <w:pPr>
        <w:spacing w:before="200" w:after="200"/>
      </w:pPr>
      <w:r>
        <w:t>&lt;h2&gt;Bookmaker e addetti ai lavori: chi spinge e chi frena&lt;/h2&gt;</w:t>
      </w:r>
    </w:p>
    <w:p w14:paraId="75C08805" w14:textId="54A94084" w:rsidR="00B93D58" w:rsidRDefault="00000000">
      <w:pPr>
        <w:spacing w:before="100" w:after="200"/>
        <w:jc w:val="both"/>
      </w:pPr>
      <w:r>
        <w:t xml:space="preserve">Le reazioni del settore sono state immediate. Fabio Schiavolin, </w:t>
      </w:r>
      <w:r w:rsidR="00E343AC">
        <w:t xml:space="preserve">ex </w:t>
      </w:r>
      <w:r>
        <w:t xml:space="preserve">AD di </w:t>
      </w:r>
      <w:proofErr w:type="spellStart"/>
      <w:r>
        <w:t>Snaitech</w:t>
      </w:r>
      <w:proofErr w:type="spellEnd"/>
      <w:r>
        <w:t>, ha definito il Decreto Dignità "un fallimento", sostenendo che &lt;strong&gt;l'eliminazione della pubblicità legale ha incentivato il gioco illegale&lt;/strong&gt;. Una posizione condivisa dai vertici dello sport: Luigi De Siervo, AD di Lega Serie A, in una &lt;a href="https://www.sitiscommesse.com/news/personaggi/esclusiva-de-siervo-il-decreto-dignita-sta-danneggiando-lo-sport.html"&gt;intervista esclusiva a sitiscommesse.com&lt;/a&gt;, ha parlato di "applicazioni sbagliate che stanno danneggiando lo sport", chiedendo un tavolo con il Governo.</w:t>
      </w:r>
    </w:p>
    <w:p w14:paraId="762F1C07" w14:textId="50684EEB" w:rsidR="00B93D58" w:rsidRDefault="00000000">
      <w:pPr>
        <w:spacing w:before="100" w:after="200"/>
        <w:jc w:val="both"/>
      </w:pPr>
      <w:r>
        <w:t xml:space="preserve">Sul piano operativo, la rivoluzione delle nuove licenze ADM ha già ridisegnato il mercato. Dieci concessionari hanno rinunciato alla proroga tecnica, uscendo dal mercato. Le 52 concessioni assegnate a 46 operatori, al costo di 7 milioni ciascuna, e la fine del modello </w:t>
      </w:r>
      <w:proofErr w:type="spellStart"/>
      <w:r>
        <w:t>skin</w:t>
      </w:r>
      <w:proofErr w:type="spellEnd"/>
      <w:r>
        <w:t xml:space="preserve"> hanno &lt;strong&gt;accelerato la concentrazione nelle mani dei grandi gruppi&lt;/strong&gt;. Gli analisti stimano che Flutter Entertainment e Lottomatica controlleranno il 55/60% del mercato </w:t>
      </w:r>
      <w:r w:rsidR="00E343AC">
        <w:t>post-riforma</w:t>
      </w:r>
      <w:r>
        <w:t>.</w:t>
      </w:r>
    </w:p>
    <w:p w14:paraId="08532E42" w14:textId="4C4B85BE" w:rsidR="00B93D58" w:rsidRDefault="00000000">
      <w:pPr>
        <w:spacing w:before="100" w:after="200"/>
        <w:jc w:val="both"/>
      </w:pPr>
      <w:r>
        <w:t xml:space="preserve">Nel frattempo, i concessionari rimasti hanno sviluppato strategie nelle zone grigie. Portali come </w:t>
      </w:r>
      <w:proofErr w:type="spellStart"/>
      <w:r>
        <w:t>LeoVegas.news</w:t>
      </w:r>
      <w:proofErr w:type="spellEnd"/>
      <w:r>
        <w:t xml:space="preserve">, </w:t>
      </w:r>
      <w:proofErr w:type="spellStart"/>
      <w:r>
        <w:t>StarCasinò</w:t>
      </w:r>
      <w:proofErr w:type="spellEnd"/>
      <w:r>
        <w:t xml:space="preserve"> Sport e </w:t>
      </w:r>
      <w:proofErr w:type="spellStart"/>
      <w:r>
        <w:t>Snaifun</w:t>
      </w:r>
      <w:proofErr w:type="spellEnd"/>
      <w:r w:rsidR="00E343AC">
        <w:t>, ad esempio,</w:t>
      </w:r>
      <w:r>
        <w:t xml:space="preserve"> operano come &lt;strong&gt;testate di informazione sportiva&lt;/strong&gt;, compaiono sui LED a bordocampo della Serie A come "Official Infotainment Partner" e aggirano il divieto con statistiche e contenuti lifestyle. L'influencer marketing, secondo le stime </w:t>
      </w:r>
      <w:proofErr w:type="spellStart"/>
      <w:r>
        <w:t>Kolsquare</w:t>
      </w:r>
      <w:proofErr w:type="spellEnd"/>
      <w:r>
        <w:t xml:space="preserve">, potrebbe raggiungere nel 2025 i 540 milioni di dollari in Italia (+16,8% annuo), con creator su TikTok e Telegram che costruiscono brand </w:t>
      </w:r>
      <w:proofErr w:type="spellStart"/>
      <w:r>
        <w:t>awareness</w:t>
      </w:r>
      <w:proofErr w:type="spellEnd"/>
      <w:r>
        <w:t xml:space="preserve"> fuori dal radar dei regolatori.</w:t>
      </w:r>
    </w:p>
    <w:p w14:paraId="7A225B3C" w14:textId="77777777" w:rsidR="00B93D58" w:rsidRDefault="00000000">
      <w:pPr>
        <w:spacing w:before="200" w:after="200"/>
      </w:pPr>
      <w:r>
        <w:t>&lt;h2&gt;Scenario 2026: cosa aspettarsi&lt;/h2&gt;</w:t>
      </w:r>
    </w:p>
    <w:p w14:paraId="13131505" w14:textId="77777777" w:rsidR="00B93D58" w:rsidRDefault="00000000">
      <w:pPr>
        <w:spacing w:before="100" w:after="200"/>
        <w:jc w:val="both"/>
      </w:pPr>
      <w:r>
        <w:t xml:space="preserve">La convergenza tra fragilità giuridica del divieto, pressione degli operatori e consolidamento del mercato indica una sola direzione praticabile: il superamento del Decreto Dignità verso un modello di &lt;strong&gt;pubblicità controllata e responsabile&lt;/strong&gt;, sul modello già adottato da Regno Unito e Spagna. Il </w:t>
      </w:r>
      <w:proofErr w:type="spellStart"/>
      <w:r>
        <w:t>D.Lgs.</w:t>
      </w:r>
      <w:proofErr w:type="spellEnd"/>
      <w:r>
        <w:t xml:space="preserve"> 41/2024 ha già spostato l'asse sull'obbligo di sistemi di autolimitazione e limiti di spesa per i giocatori.</w:t>
      </w:r>
    </w:p>
    <w:p w14:paraId="5E1A1CD5" w14:textId="77777777" w:rsidR="00B93D58" w:rsidRDefault="00000000">
      <w:pPr>
        <w:spacing w:before="100" w:after="200"/>
        <w:jc w:val="both"/>
      </w:pPr>
      <w:r>
        <w:t>Resta il nodo politico. Il Governo Meloni dovrà scegliere se anticipare la riforma o attendere che i tribunali la impongano caso per caso. Per gli addetti ai lavori, la posta in gioco è chiara: continuare a operare in un &lt;strong&gt;circuito opaco dove lo scommettitore fatica a distinguere&lt;/strong&gt; chi ha concessione ADM e chi agisce da un server offshore, oppure restituire al mercato regole di comunicazione trasparenti. L'asimmetria informativa colpisce proprio chi il Decreto avrebbe dovuto proteggere.</w:t>
      </w:r>
    </w:p>
    <w:sectPr w:rsidR="00B93D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350F9"/>
    <w:multiLevelType w:val="hybridMultilevel"/>
    <w:tmpl w:val="35683CAC"/>
    <w:lvl w:ilvl="0" w:tplc="014CFA72">
      <w:start w:val="1"/>
      <w:numFmt w:val="bullet"/>
      <w:lvlText w:val="●"/>
      <w:lvlJc w:val="left"/>
      <w:pPr>
        <w:ind w:left="720" w:hanging="360"/>
      </w:pPr>
    </w:lvl>
    <w:lvl w:ilvl="1" w:tplc="7F9E4070">
      <w:start w:val="1"/>
      <w:numFmt w:val="bullet"/>
      <w:lvlText w:val="○"/>
      <w:lvlJc w:val="left"/>
      <w:pPr>
        <w:ind w:left="1440" w:hanging="360"/>
      </w:pPr>
    </w:lvl>
    <w:lvl w:ilvl="2" w:tplc="6788395C">
      <w:start w:val="1"/>
      <w:numFmt w:val="bullet"/>
      <w:lvlText w:val="■"/>
      <w:lvlJc w:val="left"/>
      <w:pPr>
        <w:ind w:left="2160" w:hanging="360"/>
      </w:pPr>
    </w:lvl>
    <w:lvl w:ilvl="3" w:tplc="FC806604">
      <w:start w:val="1"/>
      <w:numFmt w:val="bullet"/>
      <w:lvlText w:val="●"/>
      <w:lvlJc w:val="left"/>
      <w:pPr>
        <w:ind w:left="2880" w:hanging="360"/>
      </w:pPr>
    </w:lvl>
    <w:lvl w:ilvl="4" w:tplc="1738354C">
      <w:start w:val="1"/>
      <w:numFmt w:val="bullet"/>
      <w:lvlText w:val="○"/>
      <w:lvlJc w:val="left"/>
      <w:pPr>
        <w:ind w:left="3600" w:hanging="360"/>
      </w:pPr>
    </w:lvl>
    <w:lvl w:ilvl="5" w:tplc="0920775C">
      <w:start w:val="1"/>
      <w:numFmt w:val="bullet"/>
      <w:lvlText w:val="■"/>
      <w:lvlJc w:val="left"/>
      <w:pPr>
        <w:ind w:left="4320" w:hanging="360"/>
      </w:pPr>
    </w:lvl>
    <w:lvl w:ilvl="6" w:tplc="9142FDFC">
      <w:start w:val="1"/>
      <w:numFmt w:val="bullet"/>
      <w:lvlText w:val="●"/>
      <w:lvlJc w:val="left"/>
      <w:pPr>
        <w:ind w:left="5040" w:hanging="360"/>
      </w:pPr>
    </w:lvl>
    <w:lvl w:ilvl="7" w:tplc="72B05C4A">
      <w:start w:val="1"/>
      <w:numFmt w:val="bullet"/>
      <w:lvlText w:val="●"/>
      <w:lvlJc w:val="left"/>
      <w:pPr>
        <w:ind w:left="5760" w:hanging="360"/>
      </w:pPr>
    </w:lvl>
    <w:lvl w:ilvl="8" w:tplc="E7F2EB8C">
      <w:start w:val="1"/>
      <w:numFmt w:val="bullet"/>
      <w:lvlText w:val="●"/>
      <w:lvlJc w:val="left"/>
      <w:pPr>
        <w:ind w:left="6480" w:hanging="360"/>
      </w:pPr>
    </w:lvl>
  </w:abstractNum>
  <w:num w:numId="1" w16cid:durableId="1402631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6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58"/>
    <w:rsid w:val="00B93D58"/>
    <w:rsid w:val="00E343AC"/>
    <w:rsid w:val="00F5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48F4FF"/>
  <w15:docId w15:val="{5DF5155D-BB77-5C49-B560-1A60C00E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Lattuada</cp:lastModifiedBy>
  <cp:revision>2</cp:revision>
  <dcterms:created xsi:type="dcterms:W3CDTF">2026-02-11T10:54:00Z</dcterms:created>
  <dcterms:modified xsi:type="dcterms:W3CDTF">2026-02-11T13:08:00Z</dcterms:modified>
</cp:coreProperties>
</file>