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01F1A" w14:textId="77777777" w:rsidR="005B5E75" w:rsidRDefault="005B5E75" w:rsidP="005B5E75">
      <w:pPr>
        <w:pStyle w:val="NormaleWeb"/>
        <w:spacing w:before="0" w:beforeAutospacing="0" w:after="240" w:afterAutospacing="0"/>
        <w:rPr>
          <w:rFonts w:ascii="Arial" w:hAnsi="Arial" w:cs="Arial"/>
          <w:color w:val="1F1F1F"/>
        </w:rPr>
      </w:pPr>
      <w:r w:rsidRPr="005B5E75">
        <w:rPr>
          <w:rFonts w:ascii="Arial" w:hAnsi="Arial" w:cs="Arial"/>
          <w:b/>
          <w:bCs/>
          <w:color w:val="1F1F1F"/>
        </w:rPr>
        <w:t>SEO Title:</w:t>
      </w:r>
      <w:r>
        <w:rPr>
          <w:rFonts w:ascii="Arial" w:hAnsi="Arial" w:cs="Arial"/>
          <w:color w:val="1F1F1F"/>
        </w:rPr>
        <w:t xml:space="preserve"> Gioco Online: ADM impone trasparenza totale su interessi attivi</w:t>
      </w:r>
    </w:p>
    <w:p w14:paraId="04F5ED02" w14:textId="77777777" w:rsidR="005B5E75" w:rsidRDefault="005B5E75" w:rsidP="005B5E75">
      <w:pPr>
        <w:pStyle w:val="NormaleWeb"/>
        <w:spacing w:before="0" w:beforeAutospacing="0" w:after="240" w:afterAutospacing="0"/>
        <w:rPr>
          <w:rFonts w:ascii="Arial" w:hAnsi="Arial" w:cs="Arial"/>
          <w:color w:val="1F1F1F"/>
        </w:rPr>
      </w:pPr>
      <w:r w:rsidRPr="005B5E75">
        <w:rPr>
          <w:rFonts w:ascii="Arial" w:hAnsi="Arial" w:cs="Arial"/>
          <w:b/>
          <w:bCs/>
          <w:color w:val="1F1F1F"/>
        </w:rPr>
        <w:t xml:space="preserve">Meta </w:t>
      </w:r>
      <w:proofErr w:type="spellStart"/>
      <w:r w:rsidRPr="005B5E75">
        <w:rPr>
          <w:rFonts w:ascii="Arial" w:hAnsi="Arial" w:cs="Arial"/>
          <w:b/>
          <w:bCs/>
          <w:color w:val="1F1F1F"/>
        </w:rPr>
        <w:t>description</w:t>
      </w:r>
      <w:proofErr w:type="spellEnd"/>
      <w:r w:rsidRPr="005B5E75">
        <w:rPr>
          <w:rFonts w:ascii="Arial" w:hAnsi="Arial" w:cs="Arial"/>
          <w:b/>
          <w:bCs/>
          <w:color w:val="1F1F1F"/>
        </w:rPr>
        <w:t>:</w:t>
      </w:r>
      <w:r>
        <w:rPr>
          <w:rFonts w:ascii="Arial" w:hAnsi="Arial" w:cs="Arial"/>
          <w:color w:val="1F1F1F"/>
        </w:rPr>
        <w:t xml:space="preserve"> Nuovi obblighi ADM per il gioco online: i concessionari devono comunicare gli interessi attivi sui conti di gioco. Scopri cosa cambia per la trasparenza.</w:t>
      </w:r>
    </w:p>
    <w:p w14:paraId="699220EB" w14:textId="77777777" w:rsidR="005B5E75" w:rsidRDefault="005B5E75" w:rsidP="005B5E75">
      <w:pPr>
        <w:pStyle w:val="NormaleWeb"/>
        <w:spacing w:before="0" w:beforeAutospacing="0" w:after="240" w:afterAutospacing="0"/>
        <w:rPr>
          <w:rFonts w:ascii="Arial" w:hAnsi="Arial" w:cs="Arial"/>
          <w:color w:val="1F1F1F"/>
        </w:rPr>
      </w:pPr>
      <w:proofErr w:type="spellStart"/>
      <w:r w:rsidRPr="005B5E75">
        <w:rPr>
          <w:rFonts w:ascii="Arial" w:hAnsi="Arial" w:cs="Arial"/>
          <w:b/>
          <w:bCs/>
          <w:color w:val="1F1F1F"/>
        </w:rPr>
        <w:t>Caption</w:t>
      </w:r>
      <w:proofErr w:type="spellEnd"/>
      <w:r w:rsidRPr="005B5E75">
        <w:rPr>
          <w:rFonts w:ascii="Arial" w:hAnsi="Arial" w:cs="Arial"/>
          <w:b/>
          <w:bCs/>
          <w:color w:val="1F1F1F"/>
        </w:rPr>
        <w:t>:</w:t>
      </w:r>
      <w:r>
        <w:rPr>
          <w:rFonts w:ascii="Arial" w:hAnsi="Arial" w:cs="Arial"/>
          <w:color w:val="1F1F1F"/>
        </w:rPr>
        <w:t xml:space="preserve"> ADM monitora gli interessi attivi sui conti di gioco online.</w:t>
      </w:r>
    </w:p>
    <w:p w14:paraId="2605C43E" w14:textId="77777777" w:rsidR="005B5E75" w:rsidRDefault="005B5E75" w:rsidP="005B5E75">
      <w:pPr>
        <w:pStyle w:val="NormaleWeb"/>
        <w:spacing w:before="0" w:beforeAutospacing="0" w:after="240" w:afterAutospacing="0"/>
        <w:rPr>
          <w:rFonts w:ascii="Arial" w:hAnsi="Arial" w:cs="Arial"/>
          <w:color w:val="1F1F1F"/>
        </w:rPr>
      </w:pPr>
      <w:r>
        <w:rPr>
          <w:rFonts w:ascii="Arial" w:hAnsi="Arial" w:cs="Arial"/>
          <w:color w:val="1F1F1F"/>
        </w:rPr>
        <w:t xml:space="preserve">&lt;strong&gt;INTRO – La riforma del gioco a distanza introduce nuovi pilastri di trasparenza finanziaria. L'Agenzia delle Dogane e dei Monopoli richiede ora ai concessionari di segnalare formalmente l'eventuale maturazione di interessi attivi sui conti dei giocatori, puntando a una gestione </w:t>
      </w:r>
      <w:proofErr w:type="gramStart"/>
      <w:r>
        <w:rPr>
          <w:rFonts w:ascii="Arial" w:hAnsi="Arial" w:cs="Arial"/>
          <w:color w:val="1F1F1F"/>
        </w:rPr>
        <w:t>limpida.&lt;</w:t>
      </w:r>
      <w:proofErr w:type="gramEnd"/>
      <w:r>
        <w:rPr>
          <w:rFonts w:ascii="Arial" w:hAnsi="Arial" w:cs="Arial"/>
          <w:color w:val="1F1F1F"/>
        </w:rPr>
        <w:t>/strong&gt;</w:t>
      </w:r>
    </w:p>
    <w:p w14:paraId="46465571" w14:textId="77777777" w:rsidR="005B5E75" w:rsidRDefault="005B5E75" w:rsidP="005B5E75">
      <w:pPr>
        <w:pStyle w:val="NormaleWeb"/>
        <w:spacing w:before="0" w:beforeAutospacing="0" w:after="240" w:afterAutospacing="0"/>
        <w:rPr>
          <w:rFonts w:ascii="Arial" w:hAnsi="Arial" w:cs="Arial"/>
          <w:color w:val="1F1F1F"/>
        </w:rPr>
      </w:pPr>
      <w:r>
        <w:rPr>
          <w:rFonts w:ascii="Arial" w:hAnsi="Arial" w:cs="Arial"/>
          <w:color w:val="1F1F1F"/>
        </w:rPr>
        <w:t>&lt;h2&gt;Obbligo di comunicazione per i concessionari&lt;/h2&gt;</w:t>
      </w:r>
    </w:p>
    <w:p w14:paraId="13489E81" w14:textId="77777777" w:rsidR="005B5E75" w:rsidRDefault="005B5E75" w:rsidP="005B5E75">
      <w:pPr>
        <w:pStyle w:val="NormaleWeb"/>
        <w:spacing w:before="0" w:beforeAutospacing="0" w:after="240" w:afterAutospacing="0"/>
        <w:rPr>
          <w:rFonts w:ascii="Arial" w:hAnsi="Arial" w:cs="Arial"/>
          <w:color w:val="1F1F1F"/>
        </w:rPr>
      </w:pPr>
      <w:r>
        <w:rPr>
          <w:rFonts w:ascii="Arial" w:hAnsi="Arial" w:cs="Arial"/>
          <w:color w:val="1F1F1F"/>
        </w:rPr>
        <w:t>Il panorama normativo italiano sta subendo una trasformazione radicale per garantire maggiore sicurezza. Con la nuova disciplina del gioco online, i concessionari hanno l'obbligo di comunicare ad ADM se i fondi depositati generano rendimenti. Questa misura serve a &lt;strong&gt;monitorare i flussi finanziari e proteggere&lt;/strong&gt; i capitali degli utenti da utilizzi impropri o gestioni poco trasparenti durante le sessioni.</w:t>
      </w:r>
    </w:p>
    <w:p w14:paraId="63F57528" w14:textId="77777777" w:rsidR="005B5E75" w:rsidRDefault="005B5E75" w:rsidP="005B5E75">
      <w:pPr>
        <w:pStyle w:val="NormaleWeb"/>
        <w:spacing w:before="0" w:beforeAutospacing="0" w:after="240" w:afterAutospacing="0"/>
        <w:rPr>
          <w:rFonts w:ascii="Arial" w:hAnsi="Arial" w:cs="Arial"/>
          <w:color w:val="1F1F1F"/>
        </w:rPr>
      </w:pPr>
      <w:r>
        <w:rPr>
          <w:rFonts w:ascii="Arial" w:hAnsi="Arial" w:cs="Arial"/>
          <w:color w:val="1F1F1F"/>
        </w:rPr>
        <w:t>L'Agenzia intende mappare con precisione chirurgica ogni aspetto economico del rapporto tra operatore e utente. Se un bookmaker decide di premiare la giacenza con interessi, deve notificarlo preventivamente all'autorità competente. Tale comunicazione rappresenta un &lt;strong&gt;requisito fondamentale per la conformità&lt;/strong&gt; alle nuove licenze di gioco previste dal recente decreto legislativo che regola l'intero comparto del betting sul territorio nazionale.</w:t>
      </w:r>
    </w:p>
    <w:p w14:paraId="5A9C6582" w14:textId="77777777" w:rsidR="005B5E75" w:rsidRDefault="005B5E75" w:rsidP="005B5E75">
      <w:pPr>
        <w:pStyle w:val="NormaleWeb"/>
        <w:spacing w:before="0" w:beforeAutospacing="0" w:after="240" w:afterAutospacing="0"/>
        <w:rPr>
          <w:rFonts w:ascii="Arial" w:hAnsi="Arial" w:cs="Arial"/>
          <w:color w:val="1F1F1F"/>
        </w:rPr>
      </w:pPr>
      <w:r>
        <w:rPr>
          <w:rFonts w:ascii="Arial" w:hAnsi="Arial" w:cs="Arial"/>
          <w:color w:val="1F1F1F"/>
        </w:rPr>
        <w:t>La trasparenza non riguarda solo l'aspetto fiscale, ma anche la natura stessa del conto di gioco. Quest'ultimo non deve essere confuso con uno strumento finanziario di investimento speculativo. ADM vuole evitare che le piattaforme diventino surrogati di istituti bancari, mantenendo il &lt;strong&gt;focus esclusivamente sull'intrattenimento ludico&lt;/strong&gt; e sulla gestione responsabile delle transazioni monetarie tra le parti coinvolte nel processo regolamentato.</w:t>
      </w:r>
    </w:p>
    <w:p w14:paraId="3CEF0E3C" w14:textId="77777777" w:rsidR="005B5E75" w:rsidRDefault="005B5E75" w:rsidP="005B5E75">
      <w:pPr>
        <w:pStyle w:val="NormaleWeb"/>
        <w:spacing w:before="0" w:beforeAutospacing="0" w:after="240" w:afterAutospacing="0"/>
        <w:rPr>
          <w:rFonts w:ascii="Arial" w:hAnsi="Arial" w:cs="Arial"/>
          <w:color w:val="1F1F1F"/>
        </w:rPr>
      </w:pPr>
      <w:r>
        <w:rPr>
          <w:rFonts w:ascii="Arial" w:hAnsi="Arial" w:cs="Arial"/>
          <w:color w:val="1F1F1F"/>
        </w:rPr>
        <w:t>Entro il termine perentorio del 31 gennaio, i titolari di concessione devono trasmettere i dati relativi al periodo d'imposta precedente. Questo adempimento assicura che ogni centesimo maturato sia correttamente rendicontato e visibile all'autorità. La &lt;strong&gt;revisione dei sistemi contabili interni&lt;/strong&gt; diventa quindi obbligatoria per garantire che il capitale dei player sia sempre disponibile e protetto da eventuali rischi finanziari.</w:t>
      </w:r>
    </w:p>
    <w:p w14:paraId="3A01DDC0" w14:textId="77777777" w:rsidR="005B5E75" w:rsidRDefault="005B5E75" w:rsidP="005B5E75">
      <w:pPr>
        <w:pStyle w:val="NormaleWeb"/>
        <w:spacing w:before="0" w:beforeAutospacing="0" w:after="240" w:afterAutospacing="0"/>
        <w:rPr>
          <w:rFonts w:ascii="Arial" w:hAnsi="Arial" w:cs="Arial"/>
          <w:color w:val="1F1F1F"/>
        </w:rPr>
      </w:pPr>
      <w:r>
        <w:rPr>
          <w:rFonts w:ascii="Arial" w:hAnsi="Arial" w:cs="Arial"/>
          <w:color w:val="1F1F1F"/>
        </w:rPr>
        <w:t>&lt;h2&gt;Trasparenza e impatto sulla tutela dei player&lt;/h2&gt;</w:t>
      </w:r>
    </w:p>
    <w:p w14:paraId="74A4F34D" w14:textId="77777777" w:rsidR="005B5E75" w:rsidRDefault="005B5E75" w:rsidP="005B5E75">
      <w:pPr>
        <w:pStyle w:val="NormaleWeb"/>
        <w:spacing w:before="0" w:beforeAutospacing="0" w:after="0" w:afterAutospacing="0"/>
        <w:rPr>
          <w:rFonts w:ascii="Arial" w:hAnsi="Arial" w:cs="Arial"/>
          <w:color w:val="1F1F1F"/>
        </w:rPr>
      </w:pPr>
      <w:r>
        <w:rPr>
          <w:rFonts w:ascii="Arial" w:hAnsi="Arial" w:cs="Arial"/>
          <w:color w:val="1F1F1F"/>
        </w:rPr>
        <w:t>In questo contesto di forte cambiamento, è essenziale che i giocatori restino informati sulle dinamiche dei propri depositi. Spesso si ignorano le clausole contrattuali legate ai rendimenti, ma la &lt;strong&gt;tracciabilità operata da ADM&lt;/strong&gt; garantisce una tutela superiore. Per approfondire l'evoluzione del settore, è utile leggere come cambiano le &lt;a href="</w:t>
      </w:r>
      <w:hyperlink r:id="rId4" w:tgtFrame="_blank" w:history="1">
        <w:r>
          <w:rPr>
            <w:rStyle w:val="Collegamentoipertestuale"/>
            <w:rFonts w:ascii="Arial" w:eastAsiaTheme="majorEastAsia" w:hAnsi="Arial" w:cs="Arial"/>
            <w:color w:val="0B57D0"/>
            <w:bdr w:val="none" w:sz="0" w:space="0" w:color="auto" w:frame="1"/>
          </w:rPr>
          <w:t>https://www.sitiscommesse.co</w:t>
        </w:r>
        <w:r>
          <w:rPr>
            <w:rStyle w:val="Collegamentoipertestuale"/>
            <w:rFonts w:ascii="Arial" w:eastAsiaTheme="majorEastAsia" w:hAnsi="Arial" w:cs="Arial"/>
            <w:color w:val="0B57D0"/>
            <w:bdr w:val="none" w:sz="0" w:space="0" w:color="auto" w:frame="1"/>
          </w:rPr>
          <w:t>m</w:t>
        </w:r>
        <w:r>
          <w:rPr>
            <w:rStyle w:val="Collegamentoipertestuale"/>
            <w:rFonts w:ascii="Arial" w:eastAsiaTheme="majorEastAsia" w:hAnsi="Arial" w:cs="Arial"/>
            <w:color w:val="0B57D0"/>
            <w:bdr w:val="none" w:sz="0" w:space="0" w:color="auto" w:frame="1"/>
          </w:rPr>
          <w:t>/news/attualita-e-industria/nuove-concessioni-gioco-online-cosa-cambia-per-gli-utenti.html</w:t>
        </w:r>
      </w:hyperlink>
      <w:r>
        <w:rPr>
          <w:rFonts w:ascii="Arial" w:hAnsi="Arial" w:cs="Arial"/>
          <w:color w:val="1F1F1F"/>
        </w:rPr>
        <w:t>"&gt;nuove concessioni per gli utenti&lt;/a&gt; nel mercato attuale.</w:t>
      </w:r>
    </w:p>
    <w:p w14:paraId="66CF00A5" w14:textId="77777777" w:rsidR="005B5E75" w:rsidRDefault="005B5E75" w:rsidP="005B5E75">
      <w:pPr>
        <w:pStyle w:val="NormaleWeb"/>
        <w:spacing w:before="0" w:beforeAutospacing="0" w:after="0" w:afterAutospacing="0"/>
        <w:rPr>
          <w:rFonts w:ascii="Arial" w:hAnsi="Arial" w:cs="Arial"/>
          <w:color w:val="1F1F1F"/>
        </w:rPr>
      </w:pPr>
    </w:p>
    <w:p w14:paraId="7716C808" w14:textId="11CFAA90" w:rsidR="005B5E75" w:rsidRDefault="005B5E75" w:rsidP="005B5E75">
      <w:pPr>
        <w:pStyle w:val="NormaleWeb"/>
        <w:spacing w:before="0" w:beforeAutospacing="0" w:after="0" w:afterAutospacing="0"/>
        <w:rPr>
          <w:rFonts w:ascii="Arial" w:hAnsi="Arial" w:cs="Arial"/>
          <w:color w:val="1F1F1F"/>
        </w:rPr>
      </w:pPr>
      <w:r>
        <w:rPr>
          <w:rFonts w:ascii="Arial" w:hAnsi="Arial" w:cs="Arial"/>
          <w:color w:val="1F1F1F"/>
        </w:rPr>
        <w:t>L'obiettivo del legislatore, come si evince dal &lt;a href="</w:t>
      </w:r>
      <w:hyperlink r:id="rId5" w:tgtFrame="_blank" w:history="1">
        <w:r>
          <w:rPr>
            <w:rStyle w:val="Collegamentoipertestuale"/>
            <w:rFonts w:ascii="Arial" w:eastAsiaTheme="majorEastAsia" w:hAnsi="Arial" w:cs="Arial"/>
            <w:color w:val="0B57D0"/>
            <w:bdr w:val="none" w:sz="0" w:space="0" w:color="auto" w:frame="1"/>
          </w:rPr>
          <w:t>https://www.programmagoverno.gov.it/it/approfondimenti/riforme-di-rilievo-del-</w:t>
        </w:r>
        <w:r>
          <w:rPr>
            <w:rStyle w:val="Collegamentoipertestuale"/>
            <w:rFonts w:ascii="Arial" w:eastAsiaTheme="majorEastAsia" w:hAnsi="Arial" w:cs="Arial"/>
            <w:color w:val="0B57D0"/>
            <w:bdr w:val="none" w:sz="0" w:space="0" w:color="auto" w:frame="1"/>
          </w:rPr>
          <w:lastRenderedPageBreak/>
          <w:t>governo/riforme-di-rilievo-del-governo/riforma-fisc</w:t>
        </w:r>
        <w:r>
          <w:rPr>
            <w:rStyle w:val="Collegamentoipertestuale"/>
            <w:rFonts w:ascii="Arial" w:eastAsiaTheme="majorEastAsia" w:hAnsi="Arial" w:cs="Arial"/>
            <w:color w:val="0B57D0"/>
            <w:bdr w:val="none" w:sz="0" w:space="0" w:color="auto" w:frame="1"/>
          </w:rPr>
          <w:t>a</w:t>
        </w:r>
        <w:r>
          <w:rPr>
            <w:rStyle w:val="Collegamentoipertestuale"/>
            <w:rFonts w:ascii="Arial" w:eastAsiaTheme="majorEastAsia" w:hAnsi="Arial" w:cs="Arial"/>
            <w:color w:val="0B57D0"/>
            <w:bdr w:val="none" w:sz="0" w:space="0" w:color="auto" w:frame="1"/>
          </w:rPr>
          <w:t>le/dlgs-riordino-dei-giochi-pubblici/</w:t>
        </w:r>
      </w:hyperlink>
      <w:r>
        <w:rPr>
          <w:rFonts w:ascii="Arial" w:hAnsi="Arial" w:cs="Arial"/>
          <w:color w:val="1F1F1F"/>
        </w:rPr>
        <w:t>" target="_blank"&gt;Decreto Legislativo 41/2024&lt;/a&gt;, è eliminare ogni possibile zona grigia nella gestione dei fondi. La &lt;strong&gt;rendicontazione accurata dei flussi&lt;/strong&gt; assicura che ogni operazione sia tracciata correttamente, riducendo i rischi di insolvenza e proteggendo i diritti economici di ogni singolo scommettitore che opera quotidianamente sulle piattaforme digitali certificate.</w:t>
      </w:r>
    </w:p>
    <w:p w14:paraId="540D8A21" w14:textId="77777777" w:rsidR="005B5E75" w:rsidRDefault="005B5E75" w:rsidP="005B5E75">
      <w:pPr>
        <w:pStyle w:val="NormaleWeb"/>
        <w:spacing w:before="0" w:beforeAutospacing="0" w:after="0" w:afterAutospacing="0"/>
        <w:rPr>
          <w:rFonts w:ascii="Arial" w:hAnsi="Arial" w:cs="Arial"/>
          <w:color w:val="1F1F1F"/>
        </w:rPr>
      </w:pPr>
    </w:p>
    <w:p w14:paraId="4004CCDF" w14:textId="77777777" w:rsidR="005B5E75" w:rsidRDefault="005B5E75" w:rsidP="005B5E75">
      <w:pPr>
        <w:pStyle w:val="NormaleWeb"/>
        <w:spacing w:before="0" w:beforeAutospacing="0" w:after="240" w:afterAutospacing="0"/>
        <w:rPr>
          <w:rFonts w:ascii="Arial" w:hAnsi="Arial" w:cs="Arial"/>
          <w:color w:val="1F1F1F"/>
        </w:rPr>
      </w:pPr>
      <w:r>
        <w:rPr>
          <w:rFonts w:ascii="Arial" w:hAnsi="Arial" w:cs="Arial"/>
          <w:color w:val="1F1F1F"/>
        </w:rPr>
        <w:t>Il futuro del betting online passa inevitabilmente per una regolamentazione sempre più stringente e analitica. Questa richiesta di comunicazione rappresenta un ulteriore passo verso l'armonizzazione delle regole europee sul gioco d'azzardo. Per i player, ciò si traduce in un &lt;strong&gt;ambiente controllato e protetto&lt;/strong&gt;, dove la solidità finanziaria del bookmaker è costantemente monitorata dall'ente regolatore nazionale con rigidi protocolli operativi.</w:t>
      </w:r>
    </w:p>
    <w:p w14:paraId="13346B7E" w14:textId="77777777" w:rsidR="005B5E75" w:rsidRDefault="005B5E75" w:rsidP="005B5E75">
      <w:pPr>
        <w:pStyle w:val="NormaleWeb"/>
        <w:spacing w:before="0" w:beforeAutospacing="0" w:after="240" w:afterAutospacing="0"/>
        <w:rPr>
          <w:rFonts w:ascii="Arial" w:hAnsi="Arial" w:cs="Arial"/>
          <w:color w:val="1F1F1F"/>
        </w:rPr>
      </w:pPr>
      <w:r>
        <w:rPr>
          <w:rFonts w:ascii="Arial" w:hAnsi="Arial" w:cs="Arial"/>
          <w:color w:val="1F1F1F"/>
        </w:rPr>
        <w:t xml:space="preserve">Infine, la misura scoraggia pratiche commerciali aggressive legate alla capitalizzazione dei depositi. Gli operatori che non si adeguano a queste disposizioni rischiano sanzioni pesanti o la revoca della concessione. La &lt;strong&gt;compliance normativa diventa un asset&lt;/strong&gt; strategico per i </w:t>
      </w:r>
      <w:proofErr w:type="gramStart"/>
      <w:r>
        <w:rPr>
          <w:rFonts w:ascii="Arial" w:hAnsi="Arial" w:cs="Arial"/>
          <w:color w:val="1F1F1F"/>
        </w:rPr>
        <w:t>brand</w:t>
      </w:r>
      <w:proofErr w:type="gramEnd"/>
      <w:r>
        <w:rPr>
          <w:rFonts w:ascii="Arial" w:hAnsi="Arial" w:cs="Arial"/>
          <w:color w:val="1F1F1F"/>
        </w:rPr>
        <w:t xml:space="preserve"> che puntano alla longevità e alla fiducia dei consumatori in un mercato altamente competitivo e in continua evoluzione legislativa.</w:t>
      </w:r>
    </w:p>
    <w:p w14:paraId="6F43ADD5" w14:textId="77777777" w:rsidR="008727F7" w:rsidRDefault="008727F7"/>
    <w:sectPr w:rsidR="008727F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E75"/>
    <w:rsid w:val="00521A3D"/>
    <w:rsid w:val="005B5E75"/>
    <w:rsid w:val="008727F7"/>
    <w:rsid w:val="00DB7EAD"/>
    <w:rsid w:val="00DD6A3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4C90E"/>
  <w15:chartTrackingRefBased/>
  <w15:docId w15:val="{43886363-67C0-0F47-AAD3-0725B308B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B5E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B5E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B5E7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B5E7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B5E7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5B5E75"/>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B5E75"/>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B5E75"/>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B5E75"/>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B5E7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B5E7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B5E7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B5E7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5B5E7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5B5E7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B5E7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B5E7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B5E75"/>
    <w:rPr>
      <w:rFonts w:eastAsiaTheme="majorEastAsia" w:cstheme="majorBidi"/>
      <w:color w:val="272727" w:themeColor="text1" w:themeTint="D8"/>
    </w:rPr>
  </w:style>
  <w:style w:type="paragraph" w:styleId="Titolo">
    <w:name w:val="Title"/>
    <w:basedOn w:val="Normale"/>
    <w:next w:val="Normale"/>
    <w:link w:val="TitoloCarattere"/>
    <w:uiPriority w:val="10"/>
    <w:qFormat/>
    <w:rsid w:val="005B5E75"/>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B5E7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B5E75"/>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B5E7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B5E75"/>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5B5E75"/>
    <w:rPr>
      <w:i/>
      <w:iCs/>
      <w:color w:val="404040" w:themeColor="text1" w:themeTint="BF"/>
    </w:rPr>
  </w:style>
  <w:style w:type="paragraph" w:styleId="Paragrafoelenco">
    <w:name w:val="List Paragraph"/>
    <w:basedOn w:val="Normale"/>
    <w:uiPriority w:val="34"/>
    <w:qFormat/>
    <w:rsid w:val="005B5E75"/>
    <w:pPr>
      <w:ind w:left="720"/>
      <w:contextualSpacing/>
    </w:pPr>
  </w:style>
  <w:style w:type="character" w:styleId="Enfasiintensa">
    <w:name w:val="Intense Emphasis"/>
    <w:basedOn w:val="Carpredefinitoparagrafo"/>
    <w:uiPriority w:val="21"/>
    <w:qFormat/>
    <w:rsid w:val="005B5E75"/>
    <w:rPr>
      <w:i/>
      <w:iCs/>
      <w:color w:val="0F4761" w:themeColor="accent1" w:themeShade="BF"/>
    </w:rPr>
  </w:style>
  <w:style w:type="paragraph" w:styleId="Citazioneintensa">
    <w:name w:val="Intense Quote"/>
    <w:basedOn w:val="Normale"/>
    <w:next w:val="Normale"/>
    <w:link w:val="CitazioneintensaCarattere"/>
    <w:uiPriority w:val="30"/>
    <w:qFormat/>
    <w:rsid w:val="005B5E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B5E75"/>
    <w:rPr>
      <w:i/>
      <w:iCs/>
      <w:color w:val="0F4761" w:themeColor="accent1" w:themeShade="BF"/>
    </w:rPr>
  </w:style>
  <w:style w:type="character" w:styleId="Riferimentointenso">
    <w:name w:val="Intense Reference"/>
    <w:basedOn w:val="Carpredefinitoparagrafo"/>
    <w:uiPriority w:val="32"/>
    <w:qFormat/>
    <w:rsid w:val="005B5E75"/>
    <w:rPr>
      <w:b/>
      <w:bCs/>
      <w:smallCaps/>
      <w:color w:val="0F4761" w:themeColor="accent1" w:themeShade="BF"/>
      <w:spacing w:val="5"/>
    </w:rPr>
  </w:style>
  <w:style w:type="paragraph" w:styleId="NormaleWeb">
    <w:name w:val="Normal (Web)"/>
    <w:basedOn w:val="Normale"/>
    <w:uiPriority w:val="99"/>
    <w:semiHidden/>
    <w:unhideWhenUsed/>
    <w:rsid w:val="005B5E75"/>
    <w:pPr>
      <w:spacing w:before="100" w:beforeAutospacing="1" w:after="100" w:afterAutospacing="1"/>
    </w:pPr>
    <w:rPr>
      <w:rFonts w:ascii="Times New Roman" w:eastAsia="Times New Roman" w:hAnsi="Times New Roman" w:cs="Times New Roman"/>
      <w:kern w:val="0"/>
      <w:lang w:eastAsia="it-IT"/>
      <w14:ligatures w14:val="none"/>
    </w:rPr>
  </w:style>
  <w:style w:type="character" w:styleId="Collegamentoipertestuale">
    <w:name w:val="Hyperlink"/>
    <w:basedOn w:val="Carpredefinitoparagrafo"/>
    <w:uiPriority w:val="99"/>
    <w:semiHidden/>
    <w:unhideWhenUsed/>
    <w:rsid w:val="005B5E75"/>
    <w:rPr>
      <w:color w:val="0000FF"/>
      <w:u w:val="single"/>
    </w:rPr>
  </w:style>
  <w:style w:type="character" w:styleId="Collegamentovisitato">
    <w:name w:val="FollowedHyperlink"/>
    <w:basedOn w:val="Carpredefinitoparagrafo"/>
    <w:uiPriority w:val="99"/>
    <w:semiHidden/>
    <w:unhideWhenUsed/>
    <w:rsid w:val="005B5E7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programmagoverno.gov.it/it/approfondimenti/riforme-di-rilievo-del-governo/riforme-di-rilievo-del-governo/riforma-fiscale/dlgs-riordino-dei-giochi-pubblici/" TargetMode="External"/><Relationship Id="rId4" Type="http://schemas.openxmlformats.org/officeDocument/2006/relationships/hyperlink" Target="https://www.sitiscommesse.com/news/attualita-e-industria/nuove-concessioni-gioco-online-cosa-cambia-per-gli-utenti.html"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732</Words>
  <Characters>4177</Characters>
  <Application>Microsoft Office Word</Application>
  <DocSecurity>0</DocSecurity>
  <Lines>34</Lines>
  <Paragraphs>9</Paragraphs>
  <ScaleCrop>false</ScaleCrop>
  <Company/>
  <LinksUpToDate>false</LinksUpToDate>
  <CharactersWithSpaces>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Lattuada</dc:creator>
  <cp:keywords/>
  <dc:description/>
  <cp:lastModifiedBy>Alberto Lattuada</cp:lastModifiedBy>
  <cp:revision>1</cp:revision>
  <dcterms:created xsi:type="dcterms:W3CDTF">2026-01-27T12:39:00Z</dcterms:created>
  <dcterms:modified xsi:type="dcterms:W3CDTF">2026-01-27T12:41:00Z</dcterms:modified>
</cp:coreProperties>
</file>