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A1D1" w14:textId="77777777" w:rsidR="005B4EB5" w:rsidRDefault="005B4EB5" w:rsidP="005B4EB5">
      <w:r>
        <w:t xml:space="preserve">SEO Title: ICE </w:t>
      </w:r>
      <w:proofErr w:type="spellStart"/>
      <w:r>
        <w:t>Barcelona</w:t>
      </w:r>
      <w:proofErr w:type="spellEnd"/>
      <w:r>
        <w:t xml:space="preserve"> 2026: 400 regolatori contro il gioco illegale</w:t>
      </w:r>
    </w:p>
    <w:p w14:paraId="03E9A506" w14:textId="77777777" w:rsidR="005B4EB5" w:rsidRDefault="005B4EB5" w:rsidP="005B4EB5"/>
    <w:p w14:paraId="356C7F58" w14:textId="77777777" w:rsidR="005B4EB5" w:rsidRDefault="005B4EB5" w:rsidP="005B4EB5">
      <w:r>
        <w:t xml:space="preserve">Meta </w:t>
      </w:r>
      <w:proofErr w:type="spellStart"/>
      <w:r>
        <w:t>description</w:t>
      </w:r>
      <w:proofErr w:type="spellEnd"/>
      <w:r>
        <w:t xml:space="preserve">: Record di partecipazione al World </w:t>
      </w:r>
      <w:proofErr w:type="spellStart"/>
      <w:r>
        <w:t>Regulatory</w:t>
      </w:r>
      <w:proofErr w:type="spellEnd"/>
      <w:r>
        <w:t xml:space="preserve"> Briefing di ICE </w:t>
      </w:r>
      <w:proofErr w:type="spellStart"/>
      <w:r>
        <w:t>Barcelona</w:t>
      </w:r>
      <w:proofErr w:type="spellEnd"/>
      <w:r>
        <w:t xml:space="preserve"> 2026. Oltre 400 delegati per contrastare un mercato nero da 5,1 trilioni di dollari.</w:t>
      </w:r>
    </w:p>
    <w:p w14:paraId="1E5E143C" w14:textId="77777777" w:rsidR="005B4EB5" w:rsidRDefault="005B4EB5" w:rsidP="005B4EB5"/>
    <w:p w14:paraId="1A3AFD4B" w14:textId="77777777" w:rsidR="005B4EB5" w:rsidRDefault="005B4EB5" w:rsidP="005B4EB5">
      <w:proofErr w:type="spellStart"/>
      <w:r>
        <w:t>Caption</w:t>
      </w:r>
      <w:proofErr w:type="spellEnd"/>
      <w:r>
        <w:t xml:space="preserve">: Regolatori europei a confronto alla Fira de </w:t>
      </w:r>
      <w:proofErr w:type="spellStart"/>
      <w:r>
        <w:t>Barcelona</w:t>
      </w:r>
      <w:proofErr w:type="spellEnd"/>
    </w:p>
    <w:p w14:paraId="6413E243" w14:textId="77777777" w:rsidR="005B4EB5" w:rsidRDefault="005B4EB5" w:rsidP="005B4EB5"/>
    <w:p w14:paraId="69DC1122" w14:textId="77777777" w:rsidR="005B4EB5" w:rsidRDefault="005B4EB5" w:rsidP="005B4EB5">
      <w:r>
        <w:t xml:space="preserve">&lt;strong&gt;INTRO – Record di partecipazione istituzionale a ICE </w:t>
      </w:r>
      <w:proofErr w:type="spellStart"/>
      <w:r>
        <w:t>Barcelona</w:t>
      </w:r>
      <w:proofErr w:type="spellEnd"/>
      <w:r>
        <w:t xml:space="preserve"> 2026. Il World </w:t>
      </w:r>
      <w:proofErr w:type="spellStart"/>
      <w:r>
        <w:t>Regulatory</w:t>
      </w:r>
      <w:proofErr w:type="spellEnd"/>
      <w:r>
        <w:t xml:space="preserve"> Briefing ha riunito oltre 400 delegati provenienti da ogni giurisdizione attiva per affrontare la minaccia del mercato illegale, che oggi gestisce volumi stimati in 5,1 trilioni di dollari a livello globale. L'evento segna il debutto della manifestazione nella nuova sede della Fira de </w:t>
      </w:r>
      <w:proofErr w:type="spellStart"/>
      <w:r>
        <w:t>Barcelona</w:t>
      </w:r>
      <w:proofErr w:type="spellEnd"/>
      <w:r>
        <w:t xml:space="preserve"> Gran </w:t>
      </w:r>
      <w:proofErr w:type="gramStart"/>
      <w:r>
        <w:t>Via.&lt;</w:t>
      </w:r>
      <w:proofErr w:type="gramEnd"/>
      <w:r>
        <w:t>/strong&gt;</w:t>
      </w:r>
    </w:p>
    <w:p w14:paraId="3A8A3BAA" w14:textId="77777777" w:rsidR="005B4EB5" w:rsidRDefault="005B4EB5" w:rsidP="005B4EB5"/>
    <w:p w14:paraId="641FBB54" w14:textId="77777777" w:rsidR="005B4EB5" w:rsidRDefault="005B4EB5" w:rsidP="005B4EB5">
      <w:r>
        <w:t>&lt;h2&gt;20 miliardi di mancato gettito fiscale in Europa&lt;/h2&gt;</w:t>
      </w:r>
    </w:p>
    <w:p w14:paraId="306265CD" w14:textId="77777777" w:rsidR="005B4EB5" w:rsidRDefault="005B4EB5" w:rsidP="005B4EB5"/>
    <w:p w14:paraId="49E82C9C" w14:textId="77777777" w:rsidR="005B4EB5" w:rsidRDefault="005B4EB5" w:rsidP="005B4EB5">
      <w:r>
        <w:t>Le sessioni del WRB si sono concentrate sul divario competitivo tra operatori legali e siti non licenziati. I primi sostengono costi di compliance crescenti tra tasse, tecnologie di monitoraggio AML e personale dedicato alla prevenzione. I secondi reinvestono il &lt;strong&gt;vantaggio economico strutturale&lt;/strong&gt; in quote più alte e bonus aggressivi.</w:t>
      </w:r>
    </w:p>
    <w:p w14:paraId="6B042CEB" w14:textId="77777777" w:rsidR="005B4EB5" w:rsidRDefault="005B4EB5" w:rsidP="005B4EB5"/>
    <w:p w14:paraId="1A3C21D1" w14:textId="77777777" w:rsidR="005B4EB5" w:rsidRDefault="005B4EB5" w:rsidP="005B4EB5">
      <w:r>
        <w:t xml:space="preserve">I dati presentati dalla </w:t>
      </w:r>
      <w:proofErr w:type="spellStart"/>
      <w:r>
        <w:t>European</w:t>
      </w:r>
      <w:proofErr w:type="spellEnd"/>
      <w:r>
        <w:t xml:space="preserve"> Casino Association e dalla società di intelligence Yield Sec quantificano il danno. L'illegalità costa agli Stati membri dell'Unione Europea circa &lt;strong&gt;20 miliardi di euro in mancato gettito fiscale&lt;/strong&gt; ogni anno. Il report descrive il mercato nero come una struttura corporativa parallela dotata di dipartimenti marketing, supporto clienti e innovazione tecnologica, spesso finanziata dalla criminalità organizzata transnazionale.</w:t>
      </w:r>
    </w:p>
    <w:p w14:paraId="0FEA1EBA" w14:textId="77777777" w:rsidR="005B4EB5" w:rsidRDefault="005B4EB5" w:rsidP="005B4EB5"/>
    <w:p w14:paraId="23A98A35" w14:textId="77777777" w:rsidR="005B4EB5" w:rsidRDefault="005B4EB5" w:rsidP="005B4EB5">
      <w:r>
        <w:t xml:space="preserve">Andrew Rhodes, CEO della &lt;a </w:t>
      </w:r>
      <w:proofErr w:type="spellStart"/>
      <w:r>
        <w:t>href</w:t>
      </w:r>
      <w:proofErr w:type="spellEnd"/>
      <w:r>
        <w:t>="https://www.gamblingcommission.gov.uk/" target="_blank"&gt;UK Gambling Commission&lt;/a&gt;, ha richiamato l'attenzione sulla necessità di colpire le terze parti che facilitano l'illegalità: fornitori di software, processori di pagamento e piattaforme pubblicitarie. Il concetto di &lt;strong</w:t>
      </w:r>
      <w:proofErr w:type="gramStart"/>
      <w:r>
        <w:t>&gt;«</w:t>
      </w:r>
      <w:proofErr w:type="gramEnd"/>
      <w:r>
        <w:t xml:space="preserve">responsabilità di </w:t>
      </w:r>
      <w:proofErr w:type="gramStart"/>
      <w:r>
        <w:t>filiera»&lt;</w:t>
      </w:r>
      <w:proofErr w:type="gramEnd"/>
      <w:r>
        <w:t xml:space="preserve">/strong&gt; impone agli operatori legali di </w:t>
      </w:r>
      <w:proofErr w:type="spellStart"/>
      <w:r>
        <w:t>auditare</w:t>
      </w:r>
      <w:proofErr w:type="spellEnd"/>
      <w:r>
        <w:t xml:space="preserve"> l'intera catena del valore. Il mercato britannico ha raggiunto un Gross Gambling Yield record di 15,6 miliardi di sterline.</w:t>
      </w:r>
    </w:p>
    <w:p w14:paraId="3A27D56B" w14:textId="77777777" w:rsidR="005B4EB5" w:rsidRDefault="005B4EB5" w:rsidP="005B4EB5"/>
    <w:p w14:paraId="25332C42" w14:textId="77777777" w:rsidR="005B4EB5" w:rsidRDefault="005B4EB5" w:rsidP="005B4EB5">
      <w:r>
        <w:t>Il caso tedesco è stato citato come esempio dell'effetto delle politiche fiscali restrittive. L'introduzione di una tassa sul turnover del 5,3%, combinata con limiti di deposito rigidi, ha determinato una contrazione del mercato legale. Le associazioni di categoria stimano che il &lt;strong&gt;mercato nero abbia raggiunto una quota del 20%&lt;/strong&gt; in Germania.</w:t>
      </w:r>
    </w:p>
    <w:p w14:paraId="3735B745" w14:textId="77777777" w:rsidR="005B4EB5" w:rsidRDefault="005B4EB5" w:rsidP="005B4EB5"/>
    <w:p w14:paraId="22C49CFF" w14:textId="77777777" w:rsidR="005B4EB5" w:rsidRDefault="005B4EB5" w:rsidP="005B4EB5">
      <w:r>
        <w:t>&lt;h2&gt;Italia: concessioni a 7 milioni e nuovi controlli ADM&lt;/h2&gt;</w:t>
      </w:r>
    </w:p>
    <w:p w14:paraId="6BC7AEB0" w14:textId="77777777" w:rsidR="005B4EB5" w:rsidRDefault="005B4EB5" w:rsidP="005B4EB5"/>
    <w:p w14:paraId="66857DC9" w14:textId="22930640" w:rsidR="005B4EB5" w:rsidRDefault="005B4EB5" w:rsidP="005B4EB5">
      <w:r>
        <w:t xml:space="preserve">Il mercato italiano, secondo in Europa per importanza, affronta il riordino normativo previsto dal </w:t>
      </w:r>
      <w:proofErr w:type="spellStart"/>
      <w:r>
        <w:t>D.Lgs.</w:t>
      </w:r>
      <w:proofErr w:type="spellEnd"/>
      <w:r>
        <w:t xml:space="preserve"> 41/2024. La misura principale riguarda l'introduzione di un &lt;strong&gt;costo una tantum di 7 milioni di euro&lt;/strong&gt; per ogni concessione di gioco online, con durata di 9 anni non rinnovabile. Nel 2018 il costo era di 200.000 euro, un incremento del 3.400%. Il numero di operatori scenderà da circa 90 a 5</w:t>
      </w:r>
      <w:r>
        <w:t>2</w:t>
      </w:r>
      <w:r>
        <w:t xml:space="preserve"> concessionari.</w:t>
      </w:r>
    </w:p>
    <w:p w14:paraId="2A377EC8" w14:textId="77777777" w:rsidR="005B4EB5" w:rsidRDefault="005B4EB5" w:rsidP="005B4EB5"/>
    <w:p w14:paraId="5AF97926" w14:textId="77777777" w:rsidR="005B4EB5" w:rsidRDefault="005B4EB5" w:rsidP="005B4EB5">
      <w:r>
        <w:lastRenderedPageBreak/>
        <w:t>Sul fronte delle tutele, l'Agenzia delle Dogane e dei Monopoli ha introdotto controlli più stringenti per la sicurezza dei giocatori. Il nuovo protocollo PGDA 3.0 prevede che all'apertura del conto il giocatore debba obbligatoriamente impostare &lt;strong&gt;limiti di spesa e di tempo&lt;/strong&gt;. Il sistema impedisce tecnicamente di giocare se questi limiti non sono fissati.</w:t>
      </w:r>
      <w:r>
        <w:t xml:space="preserve"> </w:t>
      </w:r>
    </w:p>
    <w:p w14:paraId="18F4BADC" w14:textId="77777777" w:rsidR="005B4EB5" w:rsidRDefault="005B4EB5" w:rsidP="005B4EB5"/>
    <w:p w14:paraId="5F1AF32A" w14:textId="2FA99CE5" w:rsidR="005B4EB5" w:rsidRDefault="005B4EB5" w:rsidP="005B4EB5">
      <w:r>
        <w:t>Meccanismi di reality check interrompono il gioco con pop-up obbligatori al raggiungimento di soglie prestabilite. I nuovi protocolli impongono la gestione degli indirizzi IPV6, migliorando la capacità di &lt;strong&gt;geolocalizzazione e tracciabilità&lt;/strong&gt; e rendendo più difficile l'uso di VPN per mascherare la provenienza.</w:t>
      </w:r>
    </w:p>
    <w:p w14:paraId="27EF73BE" w14:textId="77777777" w:rsidR="005B4EB5" w:rsidRDefault="005B4EB5" w:rsidP="005B4EB5"/>
    <w:p w14:paraId="2837FF90" w14:textId="77777777" w:rsidR="005B4EB5" w:rsidRDefault="005B4EB5" w:rsidP="005B4EB5">
      <w:r>
        <w:t>La riforma dei Punti Vendita Ricariche introduce l'Albo dei PVR presso l'ADM e un &lt;strong&gt;limite di 100 euro settimanali per le ricariche in contanti&lt;/strong&gt;. Il concessionario è ora direttamente responsabile dell'operato dei propri PVR contrattualizzati: in caso di illeciti, rischia la revoca della concessione madre. Questa misura ha già portato i grandi gruppi a rescindere migliaia di contratti con punti vendita considerati a rischio.</w:t>
      </w:r>
    </w:p>
    <w:p w14:paraId="0754125B" w14:textId="77777777" w:rsidR="005B4EB5" w:rsidRDefault="005B4EB5" w:rsidP="005B4EB5"/>
    <w:p w14:paraId="54EED2FD" w14:textId="3F50D4C5" w:rsidR="008727F7" w:rsidRDefault="005B4EB5" w:rsidP="005B4EB5">
      <w:r>
        <w:t xml:space="preserve">Associazioni come LOGICO e l'EGBA hanno segnalato che la barriera all'ingresso da </w:t>
      </w:r>
      <w:proofErr w:type="gramStart"/>
      <w:r>
        <w:t>7</w:t>
      </w:r>
      <w:proofErr w:type="gramEnd"/>
      <w:r>
        <w:t xml:space="preserve"> milioni di euro potrebbe &lt;strong&gt;ridurre innovazione e concorrenza&lt;/strong&gt; nel mercato legale. I dati Yield Sec indicano che in mercati con dinamiche simili, come il Brasile, l'illegalità potrebbe controllare il 72% delle scommesse entro fine 2026.</w:t>
      </w:r>
    </w:p>
    <w:sectPr w:rsidR="008727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B5"/>
    <w:rsid w:val="00051121"/>
    <w:rsid w:val="005B4EB5"/>
    <w:rsid w:val="008727F7"/>
    <w:rsid w:val="00DB7EAD"/>
    <w:rsid w:val="00DD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8B3290"/>
  <w15:chartTrackingRefBased/>
  <w15:docId w15:val="{2ADEDB13-D2DF-224B-A516-6C406AC61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B4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B4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B4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B4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B4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B4E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B4E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B4E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B4E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B4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B4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B4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B4EB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B4EB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B4EB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B4EB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B4EB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B4EB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B4E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B4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B4E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B4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B4E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B4EB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B4EB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B4EB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B4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B4EB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B4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Lattuada</dc:creator>
  <cp:keywords/>
  <dc:description/>
  <cp:lastModifiedBy>Alberto Lattuada</cp:lastModifiedBy>
  <cp:revision>1</cp:revision>
  <dcterms:created xsi:type="dcterms:W3CDTF">2026-01-23T08:16:00Z</dcterms:created>
  <dcterms:modified xsi:type="dcterms:W3CDTF">2026-01-23T08:19:00Z</dcterms:modified>
</cp:coreProperties>
</file>