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b w:val="1"/>
          <w:bCs w:val="1"/>
          <w:rtl w:val="0"/>
          <w:lang w:val="pt-PT"/>
        </w:rPr>
        <w:t>SEO Title:</w:t>
      </w:r>
      <w:r>
        <w:rPr>
          <w:rtl w:val="0"/>
          <w:lang w:val="it-IT"/>
        </w:rPr>
        <w:t xml:space="preserve"> AGCOM, audizione DGA: stop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sport e autoesclusione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b w:val="1"/>
          <w:bCs w:val="1"/>
          <w:rtl w:val="0"/>
          <w:lang w:val="en-US"/>
        </w:rPr>
        <w:t>Meta description:</w:t>
      </w:r>
      <w:r>
        <w:rPr>
          <w:rtl w:val="0"/>
          <w:lang w:val="it-IT"/>
        </w:rPr>
        <w:t xml:space="preserve"> Assoutenti e Codici all'audizione AGCOM chiedono il divieto di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nelle gare sportive e un sistema di autoesclusione immediato. Scopri le proposte.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b w:val="1"/>
          <w:bCs w:val="1"/>
          <w:rtl w:val="0"/>
          <w:lang w:val="en-US"/>
        </w:rPr>
        <w:t>Caption:</w:t>
      </w:r>
      <w:r>
        <w:rPr>
          <w:rtl w:val="0"/>
          <w:lang w:val="it-IT"/>
        </w:rPr>
        <w:t xml:space="preserve"> AGCOM, audizione DGA,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scommesse e autoesclusione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&lt;strong&gt;Nella fase istruttoria di AGCOM sulle linee guida contro il Disturbo del Gioco d'Azzardo (DGA), le associazioni Assoutenti e Codici hanno presentato le proprie istanze chiedendo misure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stringenti sulla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nei contesti sportivi e sull'autoesclusione.&lt;/strong&gt;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Assoutenti e Codici hanno chiesto all'AGCOM l'introduzione di un &lt;strong&gt;divieto totale di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del gioco&lt;/strong&gt; nei contesti sportivi. Le due associazioni hanno sottolineato come le sponsorizzazioni e le campagne legate agli eventi agonistici rappresentino un canale di promozione ancora attivo, in grado di aggirare di fatto il quadro normativo derivante dal Decreto Dignit</w:t>
      </w:r>
      <w:r>
        <w:rPr>
          <w:rtl w:val="0"/>
        </w:rPr>
        <w:t>à</w:t>
      </w:r>
      <w:r>
        <w:rPr>
          <w:rtl w:val="0"/>
        </w:rPr>
        <w:t>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L'istruttoria AGCOM ha lo scopo di definire le &lt;strong&gt;linee guida per la prevenzione del DGA&lt;/strong&gt;, il Disturbo del Gioco d'Azzardo. In questa fase, l'Autorit</w:t>
      </w:r>
      <w:r>
        <w:rPr>
          <w:rtl w:val="0"/>
        </w:rPr>
        <w:t xml:space="preserve">à </w:t>
      </w:r>
      <w:r>
        <w:rPr>
          <w:rtl w:val="0"/>
          <w:lang w:val="it-IT"/>
        </w:rPr>
        <w:t>ha raccolto le posizioni degli stakeholder, tra cui associazioni dei consumatori, operatori e rappresentanti del settore. Le audizioni servono a orientare il testo definitivo che andr</w:t>
      </w:r>
      <w:r>
        <w:rPr>
          <w:rtl w:val="0"/>
        </w:rPr>
        <w:t xml:space="preserve">à </w:t>
      </w:r>
      <w:r>
        <w:rPr>
          <w:rtl w:val="0"/>
          <w:lang w:val="it-IT"/>
        </w:rPr>
        <w:t>a regolamentare la materia.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Secondo le associazioni, &lt;strong&gt;le sponsorizzazioni nel calcio e negli altri sport&lt;/strong&gt; rappresentano una forma indiretta di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che elude il divieto del Decreto Dignit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del 2018. La richiesta alle linee guida AGCOM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di colmare questa lacuna, vietando esplicitamente qualsiasi forma promozionale legata a operatori di gioco in ambito sportivo.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In precedenza, AGCOM aveva gi</w:t>
      </w:r>
      <w:r>
        <w:rPr>
          <w:rtl w:val="0"/>
        </w:rPr>
        <w:t xml:space="preserve">à </w:t>
      </w:r>
      <w:r>
        <w:rPr>
          <w:rtl w:val="0"/>
          <w:lang w:val="it-IT"/>
        </w:rPr>
        <w:t>adottato un &lt;strong&gt;atto di indirizzo sulla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responsabile&lt;/strong&gt;, con focus sulla tutela degli under 25 e sulla promozione dell'autolimitazione. Le richieste di Assoutenti e Codici puntano a rafforzare quel perimetro, estendendo i vincoli anche alle forme di comunicazione non coperte dalle &lt;a href="/news/attualita-e-industria/saltano-nuove-linee-guida-agcom-sul-decreto-dignita-altro-rinvio.html"&gt;linee guida AGCOM sul Decreto Dignit</w:t>
      </w:r>
      <w:r>
        <w:rPr>
          <w:rtl w:val="0"/>
        </w:rPr>
        <w:t>à</w:t>
      </w:r>
      <w:r>
        <w:rPr>
          <w:rtl w:val="0"/>
          <w:lang w:val="it-IT"/>
        </w:rPr>
        <w:t>&lt;/a&gt;, come le partnership tra operatori e societ</w:t>
      </w:r>
      <w:r>
        <w:rPr>
          <w:rtl w:val="0"/>
        </w:rPr>
        <w:t xml:space="preserve">à </w:t>
      </w:r>
      <w:r>
        <w:rPr>
          <w:rtl w:val="0"/>
          <w:lang w:val="it-IT"/>
        </w:rPr>
        <w:t>sportive.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Sul fronte dell'autoesclusione, Assoutenti e Codici hanno evidenziato una criticit</w:t>
      </w:r>
      <w:r>
        <w:rPr>
          <w:rtl w:val="0"/>
        </w:rPr>
        <w:t xml:space="preserve">à </w:t>
      </w:r>
      <w:r>
        <w:rPr>
          <w:rtl w:val="0"/>
          <w:lang w:val="it-IT"/>
        </w:rPr>
        <w:t>strutturale: &lt;strong&gt;accedere al gioco richiede pochi clic&lt;/strong&gt;, mentre sospendere o chiudere un conto richiede procedure articolate e non sempre trasparenti. Le associazioni hanno chiesto un sistema in cui uscire dal gioco sia altrettanto immediato quanto entrarvi, con effetti verificabili in tempo reale.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Le due associazioni hanno inoltre chiesto che &lt;strong&gt;l'autoesclusione sia estesa a tutte le forme di gioco&lt;/strong&gt;, sia online sia fisiche. In particolare, una volta attivata, l'esclusione dovrebbe produrre effetti immediati su tutti i canali</w:t>
      </w:r>
      <w:r>
        <w:rPr>
          <w:rtl w:val="0"/>
          <w:lang w:val="it-IT"/>
        </w:rPr>
        <w:t>,</w:t>
      </w:r>
      <w:r>
        <w:rPr>
          <w:rtl w:val="0"/>
          <w:lang w:val="it-IT"/>
        </w:rPr>
        <w:t xml:space="preserve"> dall'online alle sale giochi</w:t>
      </w:r>
      <w:r>
        <w:rPr>
          <w:rtl w:val="0"/>
          <w:lang w:val="it-IT"/>
        </w:rPr>
        <w:t>,</w:t>
      </w:r>
      <w:r>
        <w:rPr>
          <w:rtl w:val="0"/>
          <w:lang w:val="it-IT"/>
        </w:rPr>
        <w:t xml:space="preserve"> impedendo al giocatore di aggirare il provvedimento passando da un operatore all'altro.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Nella loro presentazione, le associazioni hanno ricordato all'AGCOM che il &lt;strong&gt;gioco d'azzardo patologico genera costi sanitari e sociali&lt;/strong&gt; rilevanti. Per questo motivo, le tutele non possono fermarsi alla pubblicit</w:t>
      </w:r>
      <w:r>
        <w:rPr>
          <w:rtl w:val="0"/>
        </w:rPr>
        <w:t>à</w:t>
      </w:r>
      <w:r>
        <w:rPr>
          <w:rtl w:val="0"/>
          <w:lang w:val="it-IT"/>
        </w:rPr>
        <w:t>: serve un approccio strutturale che comprenda educazione, prevenzione e accesso facilitato ai percorsi di cura, elementi che le associazioni chiedono di integrare nelle linee guida finali.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it-IT"/>
        </w:rPr>
        <w:t>Le proposte si inseriscono nel percorso istruttorio avviato da AGCOM per la definizione delle &lt;strong&gt;linee guida contro il Disturbo del Gioco d'Azzardo&lt;/strong&gt;. L'Autorit</w:t>
      </w:r>
      <w:r>
        <w:rPr>
          <w:rtl w:val="0"/>
        </w:rPr>
        <w:t xml:space="preserve">à </w:t>
      </w:r>
      <w:r>
        <w:rPr>
          <w:rtl w:val="0"/>
          <w:lang w:val="it-IT"/>
        </w:rPr>
        <w:t>gestisce gi</w:t>
      </w:r>
      <w:r>
        <w:rPr>
          <w:rtl w:val="0"/>
        </w:rPr>
        <w:t xml:space="preserve">à </w:t>
      </w:r>
      <w:r>
        <w:rPr>
          <w:rtl w:val="0"/>
          <w:lang w:val="it-IT"/>
        </w:rPr>
        <w:t>&lt;a href="https://www.agcom.it/competenze/piattaforme-online/divieto-di-pubblicita-sul-gioco-dazzardo-online-con-vincite-denaro" target="_blank"&gt;il divieto di pubblicit</w:t>
      </w:r>
      <w:r>
        <w:rPr>
          <w:rtl w:val="0"/>
        </w:rPr>
        <w:t xml:space="preserve">à </w:t>
      </w:r>
      <w:r>
        <w:rPr>
          <w:rtl w:val="0"/>
          <w:lang w:val="it-IT"/>
        </w:rPr>
        <w:t>sul gioco d'azzardo&lt;/a&gt; stabilito dal Decreto Dignit</w:t>
      </w:r>
      <w:r>
        <w:rPr>
          <w:rtl w:val="0"/>
        </w:rPr>
        <w:t>à</w:t>
      </w:r>
      <w:r>
        <w:rPr>
          <w:rtl w:val="0"/>
          <w:lang w:val="it-IT"/>
        </w:rPr>
        <w:t>: le istanze di Assoutenti e Codici potrebbero ampliarne il perimetro nel testo definitivo che l'Autorit</w:t>
      </w:r>
      <w:r>
        <w:rPr>
          <w:rtl w:val="0"/>
        </w:rPr>
        <w:t xml:space="preserve">à </w:t>
      </w:r>
      <w:r>
        <w:rPr>
          <w:rtl w:val="0"/>
          <w:lang w:val="it-IT"/>
        </w:rPr>
        <w:t>si appresta a formalizzare.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