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SEO title: </w:t>
      </w:r>
      <w:r>
        <w:t>Lottomatica guida il mercato italiano: quota al 32% nel Q1 2026</w:t>
      </w:r>
    </w:p>
    <w:p>
      <w:r>
        <w:rPr>
          <w:b/>
        </w:rPr>
        <w:t xml:space="preserve">Meta description: </w:t>
      </w:r>
      <w:r>
        <w:t>Lottomatica consolida il 32% di quota nel betting online italiano nel Q1 2026: EBITDA +22% e raccolta da 12,4 miliardi. Scopri i dati e il nuovo scenario di mercato.</w:t>
      </w:r>
    </w:p>
    <w:p>
      <w:r>
        <w:rPr>
          <w:b/>
        </w:rPr>
        <w:t xml:space="preserve">Caption: </w:t>
      </w:r>
      <w:r>
        <w:t>Lottomatica: 32% del mercato scommesse online italiano nel Q1 2026</w:t>
      </w:r>
    </w:p>
    <w:p/>
    <w:p>
      <w:r>
        <w:t>&lt;strong&gt;Lottomatica consolida la leadership nel mercato delle scommesse online italiano. Nel Q1 2026 la quota supera il 32% nel betting sportivo e nell'iGaming, con raccolta consolidata a 12,4 miliardi di euro (+11%) e EBITDA adjusted a +22% a payout normalizzato. La nuova era delle concessioni ADM premia chi ha scala e capitali.&lt;/strong&gt;</w:t>
      </w:r>
    </w:p>
    <w:p/>
    <w:p>
      <w:r>
        <w:t>Nel primo trimestre 2026 Lottomatica ha raggiunto una quota di mercato online totale del 31,8% (+1,4 punti percentuali sul Q1 2025), con il segmento scommesse sportive a &lt;strong&gt;32,5% (+0,7 pp)&lt;/strong&gt; e l'iGaming a 32,2% (+1,9 pp). Ad aprile 2026 la quota nel betting sportivo e virtuale ha toccato il 32,9%, mentre Sisal si ferma al 19% e Snaitech al 9,9%.</w:t>
      </w:r>
    </w:p>
    <w:p>
      <w:r>
        <w:t>I conti del primo trimestre confermano la solidità del modello. La raccolta consolidata ha raggiunto 12,4 miliardi di euro (+11%) rispetto al Q1 2025, con i ricavi online a 264,7 milioni (+10%). L'EBITDA adjusted si attesta a 235,5 milioni (+7%), che a payout normalizzato sale a 252,7 milioni, pari a &lt;strong&gt;+22% anno su anno&lt;/strong&gt;. Il management ha alzato la guidance per l'intero 2026 e avviato un programma di buyback dal 7 maggio.</w:t>
      </w:r>
    </w:p>
    <w:p>
      <w:r>
        <w:t>Gran parte della crescita affonda le radici nell'acquisizione di &lt;strong&gt;SKS365, chiusa ad aprile 2024 per 640 milioni di euro&lt;/strong&gt; e oggi ribattezzata PWO. Il brand ha già raggiunto una quota iGaming del 5,5%, contribuendo in modo diretto all'espansione della market share complessiva del gruppo. Nel nuovo mercato a 46 concessionari, la crescita per acquisizione è diventata la leva più efficace per guadagnare punti percentuali.</w:t>
      </w:r>
    </w:p>
    <w:p>
      <w:r>
        <w:t>A fare da contraltare c'è il gruppo Flutter, i cui brand combinati controllano circa il 31% del mercato online italiano. Lottomatica e Flutter insieme coprono &lt;strong&gt;oltre il 60% del betting online nazionale&lt;/strong&gt;, delineando un duopolio di fatto. Un'evoluzione già analizzata nell'articolo su &lt;a href="/news/attualita-e-industria/italia-scommesse-e-gioco-online-verso-un-mercato-oligarchico.html"&gt;scommesse e gioco online italiani verso un mercato oligarchico&lt;/a&gt;.</w:t>
      </w:r>
    </w:p>
    <w:p>
      <w:r>
        <w:t>I mercati finanziari hanno già prezzato la traiettoria. Secondo quanto riportato da &lt;a href="https://www.milanofinanza.it/news/lottomatica-batte-le-attese-e-alza-la-guidance-2026-buyback-al-via-il-7-maggio-202605060950004545" target="_blank" rel="noopener"&gt;Milano Finanza&lt;/a&gt;, il titolo Lottomatica ha guadagnato il &lt;strong&gt;50% negli ultimi dodici mesi&lt;/strong&gt;. I risultati del Q1 2026 hanno battuto le attese degli analisti e l'AD Angelozzi ha confermato l'attesa nella parte alta della guidance annuale.</w:t>
      </w:r>
    </w:p>
    <w:p>
      <w:r>
        <w:t>Il nuovo regime concessorio ADM, con barriere all'entrata a 7 milioni di euro e la fine del modello a skin, ha accelerato la concentrazione del mercato. Chi aveva scala, capitali e brand riconoscibili ha guadagnato quota; chi non li aveva è uscito. Per Lottomatica il &lt;strong&gt;traguardo del 33% di quota&lt;/strong&gt; entro fine 2026 è a portata di mano. Per il mercato italiano la domanda resta aperta: quanto spazio rimane per la concorrenza?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