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i 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b w:val="1"/>
          <w:bCs w:val="1"/>
          <w:rtl w:val="0"/>
          <w:lang w:val="en-US"/>
        </w:rPr>
        <w:t>SEO title:</w:t>
      </w:r>
      <w:r>
        <w:rPr>
          <w:rFonts w:ascii="Times Roman" w:hAnsi="Times Roman"/>
          <w:rtl w:val="0"/>
          <w:lang w:val="it-IT"/>
        </w:rPr>
        <w:t xml:space="preserve"> PVR: dal 13 maggio limite di 100 euro sulle ricariche cash</w:t>
      </w:r>
    </w:p>
    <w:p>
      <w:pPr>
        <w:pStyle w:val="Di 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b w:val="1"/>
          <w:bCs w:val="1"/>
          <w:rtl w:val="0"/>
          <w:lang w:val="en-US"/>
        </w:rPr>
        <w:t>Meta description:</w:t>
      </w:r>
      <w:r>
        <w:rPr>
          <w:rFonts w:ascii="Times Roman" w:hAnsi="Times Roman"/>
          <w:rtl w:val="0"/>
          <w:lang w:val="it-IT"/>
        </w:rPr>
        <w:t xml:space="preserve"> Dal 13 maggio 2026 le ricariche cash nei PVR si fermano a 100 euro a settimana: scopri cosa cambia e continua a ricaricare in modo tracciabile.</w:t>
      </w:r>
    </w:p>
    <w:p>
      <w:pPr>
        <w:pStyle w:val="Di 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b w:val="1"/>
          <w:bCs w:val="1"/>
          <w:rtl w:val="0"/>
          <w:lang w:val="en-US"/>
        </w:rPr>
        <w:t>Caption:</w:t>
      </w:r>
      <w:r>
        <w:rPr>
          <w:rFonts w:ascii="Times Roman" w:hAnsi="Times Roman"/>
          <w:rtl w:val="0"/>
          <w:lang w:val="it-IT"/>
        </w:rPr>
        <w:t xml:space="preserve"> PVR: limite cash da 100 euro dal 13 maggio</w:t>
      </w:r>
    </w:p>
    <w:p>
      <w:pPr>
        <w:pStyle w:val="Di 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it-IT"/>
        </w:rPr>
        <w:t xml:space="preserve">&lt;strong&gt; Dal 13 maggio 2026 i Punti Vendita Ricariche applicano il tetto settimanale di 100 euro sulle ricariche in contanti dei conti gioco online. Il controllo passa dal sistema ADM, che blocca le operazioni quando viene raggiunta la soglia prevista.&lt;/strong&gt; </w:t>
      </w:r>
    </w:p>
    <w:p>
      <w:pPr>
        <w:pStyle w:val="Di 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it-IT"/>
        </w:rPr>
        <w:t>I Punti Vendita Ricariche sono gli esercizi fisici autorizzati da ADM a consentire ricariche in contanti per i conti gioco online. Si tratta di tabaccherie, ricevitorie e agenzie di scommesse convenzionate, che da oggi devono rispettare un &lt;strong&gt;limite uniforme&lt;/strong&gt; su tutta la rete.</w:t>
      </w:r>
    </w:p>
    <w:p>
      <w:pPr>
        <w:pStyle w:val="Di 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it-IT"/>
        </w:rPr>
        <w:t>La soglia dei 100 euro a settimana deriva dal D.Lgs. 41/2024, che ha riscritto la disciplina dei PVR nell</w:t>
      </w:r>
      <w:r>
        <w:rPr>
          <w:rFonts w:ascii="Times Roman" w:hAnsi="Times Roman" w:hint="default"/>
          <w:rtl w:val="1"/>
        </w:rPr>
        <w:t>’</w:t>
      </w:r>
      <w:r>
        <w:rPr>
          <w:rFonts w:ascii="Times Roman" w:hAnsi="Times Roman"/>
          <w:rtl w:val="0"/>
          <w:lang w:val="it-IT"/>
        </w:rPr>
        <w:t>ambito del riordino del settore. Il provvedimento ha fissato il tetto e demandato ad ADM l</w:t>
      </w:r>
      <w:r>
        <w:rPr>
          <w:rFonts w:ascii="Times Roman" w:hAnsi="Times Roman" w:hint="default"/>
          <w:rtl w:val="1"/>
        </w:rPr>
        <w:t>’</w:t>
      </w:r>
      <w:r>
        <w:rPr>
          <w:rFonts w:ascii="Times Roman" w:hAnsi="Times Roman"/>
          <w:rtl w:val="0"/>
          <w:lang w:val="it-IT"/>
        </w:rPr>
        <w:t>attivazione dei controlli automatizzati, poi resi operativi attraverso il sistema &lt;strong&gt;PACG 3.1&lt;/strong&gt;. Per un approfondimento, vedi anche &lt;a href="/news/attualita-e-industria/adm-accelera-sul-limite-dei-100e-in-contanti-nelle-ricariche-pvr.html"&gt;questo articolo&lt;/a&gt;.</w:t>
      </w:r>
    </w:p>
    <w:p>
      <w:pPr>
        <w:pStyle w:val="Di 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it-IT"/>
        </w:rPr>
        <w:t xml:space="preserve">Il nuovo sistema monitora le ricariche per codice fiscale e in tempo reale. Quando il cumulato settimanale raggiunge i 100 euro, la transazione successiva viene respinta da qualsiasi PVR sul territorio nazionale. In questo modo non </w:t>
      </w:r>
      <w:r>
        <w:rPr>
          <w:rFonts w:ascii="Times Roman" w:hAnsi="Times Roman" w:hint="default"/>
          <w:rtl w:val="0"/>
          <w:lang w:val="it-IT"/>
        </w:rPr>
        <w:t xml:space="preserve">è </w:t>
      </w:r>
      <w:r>
        <w:rPr>
          <w:rFonts w:ascii="Times Roman" w:hAnsi="Times Roman"/>
          <w:rtl w:val="0"/>
          <w:lang w:val="it-IT"/>
        </w:rPr>
        <w:t>possibile aggirare il limite dividendo le ricariche su pi</w:t>
      </w:r>
      <w:r>
        <w:rPr>
          <w:rFonts w:ascii="Times Roman" w:hAnsi="Times Roman" w:hint="default"/>
          <w:rtl w:val="0"/>
          <w:lang w:val="it-IT"/>
        </w:rPr>
        <w:t xml:space="preserve">ù </w:t>
      </w:r>
      <w:r>
        <w:rPr>
          <w:rFonts w:ascii="Times Roman" w:hAnsi="Times Roman"/>
          <w:rtl w:val="0"/>
          <w:lang w:val="it-IT"/>
        </w:rPr>
        <w:t>esercizi o reti diverse: il controllo resta &lt;strong&gt;centralizzato&lt;/strong&gt;.</w:t>
      </w:r>
    </w:p>
    <w:p>
      <w:pPr>
        <w:pStyle w:val="Di 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it-IT"/>
        </w:rPr>
        <w:t>ADM ha anticipato ai concessionari le procedure operative necessarie prima dell</w:t>
      </w:r>
      <w:r>
        <w:rPr>
          <w:rFonts w:ascii="Times Roman" w:hAnsi="Times Roman" w:hint="default"/>
          <w:rtl w:val="1"/>
        </w:rPr>
        <w:t>’</w:t>
      </w:r>
      <w:r>
        <w:rPr>
          <w:rFonts w:ascii="Times Roman" w:hAnsi="Times Roman"/>
          <w:rtl w:val="0"/>
          <w:lang w:val="it-IT"/>
        </w:rPr>
        <w:t>entrata in vigore della misura. Le eventuali ricariche oltre soglia, se dovute a malfunzionamenti o a integrazioni non ancora allineate, possono essere oggetto di contestazione. Nella maggior parte delle reti, l</w:t>
      </w:r>
      <w:r>
        <w:rPr>
          <w:rFonts w:ascii="Times Roman" w:hAnsi="Times Roman" w:hint="default"/>
          <w:rtl w:val="1"/>
        </w:rPr>
        <w:t>’</w:t>
      </w:r>
      <w:r>
        <w:rPr>
          <w:rFonts w:ascii="Times Roman" w:hAnsi="Times Roman"/>
          <w:rtl w:val="0"/>
          <w:lang w:val="it-IT"/>
        </w:rPr>
        <w:t xml:space="preserve">avvio del controllo </w:t>
      </w:r>
      <w:r>
        <w:rPr>
          <w:rFonts w:ascii="Times Roman" w:hAnsi="Times Roman" w:hint="default"/>
          <w:rtl w:val="0"/>
          <w:lang w:val="it-IT"/>
        </w:rPr>
        <w:t xml:space="preserve">è </w:t>
      </w:r>
      <w:r>
        <w:rPr>
          <w:rFonts w:ascii="Times Roman" w:hAnsi="Times Roman"/>
          <w:rtl w:val="0"/>
          <w:lang w:val="it-IT"/>
        </w:rPr>
        <w:t>avvenuto senza &lt;strong&gt;particolari criticit</w:t>
      </w:r>
      <w:r>
        <w:rPr>
          <w:rFonts w:ascii="Times Roman" w:hAnsi="Times Roman" w:hint="default"/>
          <w:rtl w:val="0"/>
        </w:rPr>
        <w:t>à</w:t>
      </w:r>
      <w:r>
        <w:rPr>
          <w:rFonts w:ascii="Times Roman" w:hAnsi="Times Roman"/>
          <w:rtl w:val="0"/>
        </w:rPr>
        <w:t>&lt;/strong&gt;.</w:t>
      </w:r>
    </w:p>
    <w:p>
      <w:pPr>
        <w:pStyle w:val="Di 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it-IT"/>
        </w:rPr>
        <w:t>Sul piano sanzionatorio, il riferimento resta il &lt;a href="https://www.normattiva.it/uri-res/N2Ls?urn:nir:stato:decreto.legislativo:2007-11-21;231!vig=" target="_blank" rel="noopener"&gt;D.Lgs. 231/2007&lt;/a&gt;, che disciplina gli obblighi antiriciclaggio e prevede sanzioni amministrative in caso di violazione delle regole applicabili agli esercenti. Il nuovo perimetro operativo dei PVR si inserisce quindi in un quadro pi</w:t>
      </w:r>
      <w:r>
        <w:rPr>
          <w:rFonts w:ascii="Times Roman" w:hAnsi="Times Roman" w:hint="default"/>
          <w:rtl w:val="0"/>
          <w:lang w:val="it-IT"/>
        </w:rPr>
        <w:t xml:space="preserve">ù </w:t>
      </w:r>
      <w:r>
        <w:rPr>
          <w:rFonts w:ascii="Times Roman" w:hAnsi="Times Roman"/>
          <w:rtl w:val="0"/>
          <w:lang w:val="it-IT"/>
        </w:rPr>
        <w:t>ampio di &lt;strong&gt;tracciabilit</w:t>
      </w:r>
      <w:r>
        <w:rPr>
          <w:rFonts w:ascii="Times Roman" w:hAnsi="Times Roman" w:hint="default"/>
          <w:rtl w:val="0"/>
        </w:rPr>
        <w:t xml:space="preserve">à </w:t>
      </w:r>
      <w:r>
        <w:rPr>
          <w:rFonts w:ascii="Times Roman" w:hAnsi="Times Roman"/>
          <w:rtl w:val="0"/>
          <w:lang w:val="it-IT"/>
        </w:rPr>
        <w:t xml:space="preserve">dei flussi&lt;/strong&gt; e di presidio delle operazioni. </w:t>
      </w:r>
    </w:p>
    <w:p>
      <w:pPr>
        <w:pStyle w:val="Di 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it-IT"/>
        </w:rPr>
        <w:t>Per i giocatori che usavano abitualmente il contante, il cambiamento impone una &lt;strong&gt;revisione delle abitudini di deposito&lt;/strong&gt;. I principali bookmaker ADM continuano a offrire metodi tracciabili come carte, bonifico e portafogli digitali, senza i vincoli legati alle ricariche cash. La nuova fase della riforma potrebbe ora estendere ulteriormente i controlli.</w:t>
      </w:r>
    </w:p>
    <w:p>
      <w:pPr>
        <w:pStyle w:val="Di 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rPr>
      </w:pPr>
    </w:p>
    <w:p>
      <w:pPr>
        <w:pStyle w:val="Di 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rPr>
      </w:pPr>
    </w:p>
    <w:p>
      <w:pPr>
        <w:pStyle w:val="Di 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pPr>
      <w:r>
        <w:rPr>
          <w:rFonts w:ascii="Times Roman" w:cs="Times Roman" w:hAnsi="Times Roman" w:eastAsia="Times Roman"/>
        </w:rPr>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Intestazione e piè di pagina"/>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Intestazione e piè di pagina"/>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italiano" w:val="‘“(〔[{〈《「『【⦅〘〖«〝︵︷︹︻︽︿﹁﹃﹇﹙﹛﹝｢"/>
  <w:noLineBreaksBefore w:lang="italiano"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Intestazione e piè di pagina">
    <w:name w:val="Intestazione e piè di pagina"/>
    <w:next w:val="Intestazione e piè di pagin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i default">
    <w:name w:val="Di default"/>
    <w:next w:val="Di 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