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pt-PT"/>
        </w:rPr>
        <w:t>SEO Title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it-IT"/>
        </w:rPr>
        <w:t xml:space="preserve">: </w:t>
      </w:r>
      <w:r>
        <w:rPr>
          <w:rFonts w:ascii="Courier" w:hAnsi="Courier"/>
          <w:sz w:val="26"/>
          <w:szCs w:val="26"/>
          <w:rtl w:val="0"/>
          <w:lang w:val="it-IT"/>
        </w:rPr>
        <w:t>Google Ads e il gioco d'azzardo: le nuove regole di marzo 2026</w:t>
      </w: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fr-FR"/>
        </w:rPr>
        <w:t>Meta description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it-IT"/>
        </w:rPr>
        <w:t xml:space="preserve">: </w:t>
      </w:r>
      <w:r>
        <w:rPr>
          <w:rFonts w:ascii="Courier" w:hAnsi="Courier"/>
          <w:sz w:val="26"/>
          <w:szCs w:val="26"/>
          <w:rtl w:val="0"/>
          <w:lang w:val="it-IT"/>
        </w:rPr>
        <w:t>Dal 23 marzo 2026 Google aggiorna la Gambling and Games Policy per l'area EMEA: nuovi criteri su certificazione, MCC e domini. Scopri cosa cambia.</w:t>
      </w: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i default"/>
        <w:suppressAutoHyphens w:val="1"/>
        <w:spacing w:before="0" w:after="24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Caption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it-IT"/>
        </w:rPr>
        <w:t xml:space="preserve">: </w:t>
      </w:r>
      <w:r>
        <w:rPr>
          <w:rFonts w:ascii="Courier" w:hAnsi="Courier"/>
          <w:sz w:val="26"/>
          <w:szCs w:val="26"/>
          <w:rtl w:val="0"/>
          <w:lang w:val="it-IT"/>
        </w:rPr>
        <w:t>Google aggiorna le regole sulla pubblicit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al gioco d'azzardo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&lt;strong&gt;Dal 23 marzo 2026 sono operative le nuove regole di Google sulla pubblicit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al gioco d'azzardo nell'area EMEA. Il provvedimento modifica la Gambling and Games 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Policy su tre fronti: certificazione degli account, gestione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MCC e requisiti di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dominio.&lt;/strong&gt;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&lt;h2&gt;Conformit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storica e nuovi criteri di accesso&lt;/h2&gt;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La prima novit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riguarda la &lt;strong&gt;conformit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storica degli account&lt;/strong&gt;. Per ottenere la certificazione gambling, ogni inserzionista deve dimostrare di aver rispettato le policy di Google Ads in passato, senza violazioni significative. Le infrazioni pregresse non vengono pi</w:t>
      </w:r>
      <w:r>
        <w:rPr>
          <w:rFonts w:ascii="Courier" w:hAnsi="Courier" w:hint="default"/>
          <w:sz w:val="26"/>
          <w:szCs w:val="26"/>
          <w:rtl w:val="0"/>
          <w:lang w:val="it-IT"/>
        </w:rPr>
        <w:t xml:space="preserve">ù </w:t>
      </w:r>
      <w:r>
        <w:rPr>
          <w:rFonts w:ascii="Courier" w:hAnsi="Courier"/>
          <w:sz w:val="26"/>
          <w:szCs w:val="26"/>
          <w:rtl w:val="0"/>
          <w:lang w:val="it-IT"/>
        </w:rPr>
        <w:t>trattate come episodi isolati, ma come elementi che incidono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sull'accesso futuro alla certificazione e possono determinarne il diniego.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La seconda modifica riguarda i Manager Account, i cosiddetti MCC, che coordinano pi</w:t>
      </w:r>
      <w:r>
        <w:rPr>
          <w:rFonts w:ascii="Courier" w:hAnsi="Courier" w:hint="default"/>
          <w:sz w:val="26"/>
          <w:szCs w:val="26"/>
          <w:rtl w:val="0"/>
          <w:lang w:val="it-IT"/>
        </w:rPr>
        <w:t xml:space="preserve">ù </w:t>
      </w:r>
      <w:r>
        <w:rPr>
          <w:rFonts w:ascii="Courier" w:hAnsi="Courier"/>
          <w:sz w:val="26"/>
          <w:szCs w:val="26"/>
          <w:rtl w:val="0"/>
          <w:lang w:val="it-IT"/>
        </w:rPr>
        <w:t>inserzionisti contemporaneamente. Se un numero significativo di certificazioni viene revocato agli account gestiti, oppure se emergono violazioni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rilevanti su account gi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certificati, si determina la &lt;strong&gt;perdita di tutte le certificazioni associate&lt;/strong&gt; al portafoglio, insieme al blocco delle nuove richieste.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Il terzo aggiornamento introduce nuovi &lt;strong&gt;requisiti di titolarit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en-US"/>
        </w:rPr>
        <w:t>del dominio&lt;/strong&gt;.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Non ottengono la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certificazione i siti ospitati su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piattaforme gratuite come WordPress.com 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o Wixsite.com, i sottodomini il cui dominio radice appartiene a terze parti e i domini non posseduti o gestiti direttamente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dall'inserzionista. Il principio alla base </w:t>
      </w:r>
      <w:r>
        <w:rPr>
          <w:rFonts w:ascii="Courier" w:hAnsi="Courier" w:hint="default"/>
          <w:sz w:val="26"/>
          <w:szCs w:val="26"/>
          <w:rtl w:val="0"/>
          <w:lang w:val="it-IT"/>
        </w:rPr>
        <w:t xml:space="preserve">è </w:t>
      </w:r>
      <w:r>
        <w:rPr>
          <w:rFonts w:ascii="Courier" w:hAnsi="Courier"/>
          <w:sz w:val="26"/>
          <w:szCs w:val="26"/>
          <w:rtl w:val="0"/>
          <w:lang w:val="it-IT"/>
        </w:rPr>
        <w:t>quello della tracciabilit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e della piena responsabilit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del soggetto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pubblicizzante.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&lt;h2&gt;Sanzioni e impatto per il mercato italiano&lt;/h2&gt;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In Italia il &lt;strong&gt;Decreto Dignit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(D.L. n. 87/2018, Legge n. 96/2018)&lt;/strong&gt; vieta qualsiasi forma di pubblicit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al gioco d'azzardo su tutti i mezzi digitali. AGCOM </w:t>
      </w:r>
      <w:r>
        <w:rPr>
          <w:rFonts w:ascii="Courier" w:hAnsi="Courier" w:hint="default"/>
          <w:sz w:val="26"/>
          <w:szCs w:val="26"/>
          <w:rtl w:val="0"/>
          <w:lang w:val="it-IT"/>
        </w:rPr>
        <w:t xml:space="preserve">è </w:t>
      </w:r>
      <w:r>
        <w:rPr>
          <w:rFonts w:ascii="Courier" w:hAnsi="Courier"/>
          <w:sz w:val="26"/>
          <w:szCs w:val="26"/>
          <w:rtl w:val="0"/>
          <w:lang w:val="it-IT"/>
        </w:rPr>
        <w:t>l'autorit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preposta all'enforcement e ha gi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irrogato sanzioni significative a Google per violazioni del divieto, come documentato in un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&lt;a href="/news/attualita-e-industria/pubblicita-gioco-dazzardo-agcom-sanziona-google-e-spike-slot.html"&gt;approfondimento dedicato&lt;/a&gt;.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Le violazioni della Gambling and Games Policy comportano la 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&lt;strong&gt;sospensione immediata dell'account&lt;/strong&gt;, senza il preavviso di sette giorni normalmente previsto per altre categorie di annunci. La presentazione di documentazione 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falsa nella domanda di certificazione determina un ban permanente dalla piattaforma, esteso a tutti gli account associati. Il testo integrale dell'aggiornamento </w:t>
      </w:r>
      <w:r>
        <w:rPr>
          <w:rFonts w:ascii="Courier" w:hAnsi="Courier" w:hint="default"/>
          <w:sz w:val="26"/>
          <w:szCs w:val="26"/>
          <w:rtl w:val="0"/>
          <w:lang w:val="it-IT"/>
        </w:rPr>
        <w:t xml:space="preserve">è </w:t>
      </w:r>
      <w:r>
        <w:rPr>
          <w:rFonts w:ascii="Courier" w:hAnsi="Courier"/>
          <w:sz w:val="26"/>
          <w:szCs w:val="26"/>
          <w:rtl w:val="0"/>
          <w:lang w:val="it-IT"/>
        </w:rPr>
        <w:t>consultabile nella pagina ufficiale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&lt;a href="https://support.google.com/adspolicy/answer/16786233" target="_blank" rel="noopener"&gt;Google Ads Help Center&lt;/a&gt;.</w:t>
      </w: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Le nuove regole incidono in modo particolare sulle </w:t>
      </w:r>
    </w:p>
    <w:p>
      <w:pPr>
        <w:pStyle w:val="Di default"/>
        <w:suppressAutoHyphens w:val="1"/>
        <w:spacing w:before="0" w:line="240" w:lineRule="auto"/>
      </w:pPr>
      <w:r>
        <w:rPr>
          <w:rFonts w:ascii="Courier" w:hAnsi="Courier"/>
          <w:sz w:val="26"/>
          <w:szCs w:val="26"/>
          <w:rtl w:val="0"/>
          <w:lang w:val="it-IT"/>
        </w:rPr>
        <w:t>&lt;strong&gt;reti di affiliazione e i network MCC&lt;/strong&gt; articolati, per i quali una singola serie di violazioni su un account gestito pu</w:t>
      </w:r>
      <w:r>
        <w:rPr>
          <w:rFonts w:ascii="Courier" w:hAnsi="Courier" w:hint="default"/>
          <w:sz w:val="26"/>
          <w:szCs w:val="26"/>
          <w:rtl w:val="0"/>
          <w:lang w:val="it-IT"/>
        </w:rPr>
        <w:t xml:space="preserve">ò </w:t>
      </w:r>
      <w:r>
        <w:rPr>
          <w:rFonts w:ascii="Courier" w:hAnsi="Courier"/>
          <w:sz w:val="26"/>
          <w:szCs w:val="26"/>
          <w:rtl w:val="0"/>
          <w:lang w:val="it-IT"/>
        </w:rPr>
        <w:t>avere ripercussioni sull</w:t>
      </w:r>
      <w:r>
        <w:rPr>
          <w:rFonts w:ascii="Courier" w:hAnsi="Courier" w:hint="default"/>
          <w:sz w:val="26"/>
          <w:szCs w:val="26"/>
          <w:rtl w:val="0"/>
          <w:lang w:val="it-IT"/>
        </w:rPr>
        <w:t>’</w:t>
      </w:r>
      <w:r>
        <w:rPr>
          <w:rFonts w:ascii="Courier" w:hAnsi="Courier"/>
          <w:sz w:val="26"/>
          <w:szCs w:val="26"/>
          <w:rtl w:val="0"/>
          <w:lang w:val="it-IT"/>
        </w:rPr>
        <w:t>intero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portafoglio di certificazioni attive, indipendentemente dalla conformit</w:t>
      </w:r>
      <w:r>
        <w:rPr>
          <w:rFonts w:ascii="Courier" w:hAnsi="Courier" w:hint="default"/>
          <w:sz w:val="26"/>
          <w:szCs w:val="26"/>
          <w:rtl w:val="0"/>
        </w:rPr>
        <w:t xml:space="preserve">à </w:t>
      </w:r>
      <w:r>
        <w:rPr>
          <w:rFonts w:ascii="Courier" w:hAnsi="Courier"/>
          <w:sz w:val="26"/>
          <w:szCs w:val="26"/>
          <w:rtl w:val="0"/>
          <w:lang w:val="it-IT"/>
        </w:rPr>
        <w:t>dei singoli account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direttamente coinvolti.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