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B21A1" w14:textId="77777777" w:rsidR="00EF682C" w:rsidRPr="00EF682C" w:rsidRDefault="00EF682C" w:rsidP="00EF682C">
      <w:pPr>
        <w:rPr>
          <w:rFonts w:ascii="Segoe UI" w:hAnsi="Segoe UI" w:cs="Segoe UI"/>
          <w:color w:val="141413"/>
          <w:shd w:val="clear" w:color="auto" w:fill="F0EEE6"/>
        </w:rPr>
      </w:pPr>
      <w:r w:rsidRPr="00EF682C">
        <w:rPr>
          <w:rFonts w:ascii="Segoe UI" w:hAnsi="Segoe UI" w:cs="Segoe UI"/>
          <w:color w:val="141413"/>
          <w:shd w:val="clear" w:color="auto" w:fill="F0EEE6"/>
        </w:rPr>
        <w:t xml:space="preserve">SEO Title: Protocollo PSQF 5.0: le nuove regole scommesse dal 16 marzo </w:t>
      </w:r>
    </w:p>
    <w:p w14:paraId="13EC1AF8" w14:textId="77777777" w:rsidR="00EF682C" w:rsidRPr="00EF682C" w:rsidRDefault="00EF682C" w:rsidP="00EF682C">
      <w:pPr>
        <w:rPr>
          <w:rFonts w:ascii="Segoe UI" w:hAnsi="Segoe UI" w:cs="Segoe UI"/>
          <w:color w:val="141413"/>
          <w:shd w:val="clear" w:color="auto" w:fill="F0EEE6"/>
        </w:rPr>
      </w:pPr>
    </w:p>
    <w:p w14:paraId="1851182A" w14:textId="77777777" w:rsidR="00EF682C" w:rsidRPr="00EF682C" w:rsidRDefault="00EF682C" w:rsidP="00EF682C">
      <w:pPr>
        <w:rPr>
          <w:rFonts w:ascii="Segoe UI" w:hAnsi="Segoe UI" w:cs="Segoe UI"/>
          <w:color w:val="141413"/>
          <w:shd w:val="clear" w:color="auto" w:fill="F0EEE6"/>
        </w:rPr>
      </w:pPr>
      <w:r w:rsidRPr="00EF682C">
        <w:rPr>
          <w:rFonts w:ascii="Segoe UI" w:hAnsi="Segoe UI" w:cs="Segoe UI"/>
          <w:color w:val="141413"/>
          <w:shd w:val="clear" w:color="auto" w:fill="F0EEE6"/>
        </w:rPr>
        <w:t xml:space="preserve">Meta </w:t>
      </w:r>
      <w:proofErr w:type="spellStart"/>
      <w:r w:rsidRPr="00EF682C">
        <w:rPr>
          <w:rFonts w:ascii="Segoe UI" w:hAnsi="Segoe UI" w:cs="Segoe UI"/>
          <w:color w:val="141413"/>
          <w:shd w:val="clear" w:color="auto" w:fill="F0EEE6"/>
        </w:rPr>
        <w:t>description</w:t>
      </w:r>
      <w:proofErr w:type="spellEnd"/>
      <w:r w:rsidRPr="00EF682C">
        <w:rPr>
          <w:rFonts w:ascii="Segoe UI" w:hAnsi="Segoe UI" w:cs="Segoe UI"/>
          <w:color w:val="141413"/>
          <w:shd w:val="clear" w:color="auto" w:fill="F0EEE6"/>
        </w:rPr>
        <w:t xml:space="preserve">: ADM lancia il protocollo PSQF 5.0 per le scommesse a quota fissa dal 16 marzo 2026. Leggi l'articolo per scoprire tutte le novità su bonus e mercati. </w:t>
      </w:r>
    </w:p>
    <w:p w14:paraId="2597F8D3" w14:textId="77777777" w:rsidR="00EF682C" w:rsidRPr="00EF682C" w:rsidRDefault="00EF682C" w:rsidP="00EF682C">
      <w:pPr>
        <w:rPr>
          <w:rFonts w:ascii="Segoe UI" w:hAnsi="Segoe UI" w:cs="Segoe UI"/>
          <w:color w:val="141413"/>
          <w:shd w:val="clear" w:color="auto" w:fill="F0EEE6"/>
        </w:rPr>
      </w:pPr>
    </w:p>
    <w:p w14:paraId="05C81F96" w14:textId="7A18D45D" w:rsidR="00EF682C" w:rsidRPr="00EF682C" w:rsidRDefault="00EF682C" w:rsidP="00EF682C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682C">
        <w:rPr>
          <w:rFonts w:ascii="Segoe UI" w:hAnsi="Segoe UI" w:cs="Segoe UI"/>
          <w:color w:val="141413"/>
          <w:shd w:val="clear" w:color="auto" w:fill="F0EEE6"/>
        </w:rPr>
        <w:t>Caption</w:t>
      </w:r>
      <w:proofErr w:type="spellEnd"/>
      <w:r w:rsidRPr="00EF682C">
        <w:rPr>
          <w:rFonts w:ascii="Segoe UI" w:hAnsi="Segoe UI" w:cs="Segoe UI"/>
          <w:color w:val="141413"/>
          <w:shd w:val="clear" w:color="auto" w:fill="F0EEE6"/>
        </w:rPr>
        <w:t>: PSQF 5.0 ADM: nuove regole per le scommesse 2026.</w:t>
      </w:r>
    </w:p>
    <w:p w14:paraId="69705FBB" w14:textId="77777777" w:rsidR="00EF682C" w:rsidRPr="00EF682C" w:rsidRDefault="00EF682C" w:rsidP="00EF682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F682C">
        <w:rPr>
          <w:rFonts w:ascii="Courier New" w:eastAsia="Times New Roman" w:hAnsi="Courier New" w:cs="Courier New"/>
          <w:sz w:val="20"/>
          <w:szCs w:val="20"/>
        </w:rPr>
        <w:t>&lt;strong&gt;</w:t>
      </w:r>
      <w:r w:rsidRPr="00EF682C">
        <w:rPr>
          <w:rFonts w:ascii="Times New Roman" w:eastAsia="Times New Roman" w:hAnsi="Times New Roman" w:cs="Times New Roman"/>
          <w:sz w:val="24"/>
          <w:szCs w:val="24"/>
        </w:rPr>
        <w:t xml:space="preserve">Il 27 febbraio 2026 l'Agenzia delle Dogane e dei Monopoli ha pubblicato il protocollo PSQF 5.0. Questo standard tecnico governa il colloquio tra concessionari e Totalizzatore Nazionale per le scommesse a quota fissa. L'avvio operativo del sistema è fissato ufficialmente al 16 marzo </w:t>
      </w:r>
      <w:proofErr w:type="gramStart"/>
      <w:r w:rsidRPr="00EF682C">
        <w:rPr>
          <w:rFonts w:ascii="Times New Roman" w:eastAsia="Times New Roman" w:hAnsi="Times New Roman" w:cs="Times New Roman"/>
          <w:sz w:val="24"/>
          <w:szCs w:val="24"/>
        </w:rPr>
        <w:t>2026.</w:t>
      </w:r>
      <w:r w:rsidRPr="00EF682C">
        <w:rPr>
          <w:rFonts w:ascii="Courier New" w:eastAsia="Times New Roman" w:hAnsi="Courier New" w:cs="Courier New"/>
          <w:sz w:val="20"/>
          <w:szCs w:val="20"/>
        </w:rPr>
        <w:t>&lt;</w:t>
      </w:r>
      <w:proofErr w:type="gramEnd"/>
      <w:r w:rsidRPr="00EF682C">
        <w:rPr>
          <w:rFonts w:ascii="Courier New" w:eastAsia="Times New Roman" w:hAnsi="Courier New" w:cs="Courier New"/>
          <w:sz w:val="20"/>
          <w:szCs w:val="20"/>
        </w:rPr>
        <w:t>/strong&gt;</w:t>
      </w:r>
    </w:p>
    <w:p w14:paraId="17158983" w14:textId="77777777" w:rsidR="00EF682C" w:rsidRPr="00EF682C" w:rsidRDefault="00EF682C" w:rsidP="00EF682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F682C">
        <w:rPr>
          <w:rFonts w:ascii="Times New Roman" w:eastAsia="Times New Roman" w:hAnsi="Times New Roman" w:cs="Times New Roman"/>
          <w:sz w:val="24"/>
          <w:szCs w:val="24"/>
        </w:rPr>
        <w:t xml:space="preserve">Il protocollo mantiene la struttura </w:t>
      </w:r>
      <w:proofErr w:type="spellStart"/>
      <w:r w:rsidRPr="00EF682C">
        <w:rPr>
          <w:rFonts w:ascii="Times New Roman" w:eastAsia="Times New Roman" w:hAnsi="Times New Roman" w:cs="Times New Roman"/>
          <w:sz w:val="24"/>
          <w:szCs w:val="24"/>
        </w:rPr>
        <w:t>half</w:t>
      </w:r>
      <w:proofErr w:type="spellEnd"/>
      <w:r w:rsidRPr="00EF682C">
        <w:rPr>
          <w:rFonts w:ascii="Times New Roman" w:eastAsia="Times New Roman" w:hAnsi="Times New Roman" w:cs="Times New Roman"/>
          <w:sz w:val="24"/>
          <w:szCs w:val="24"/>
        </w:rPr>
        <w:t xml:space="preserve">-duplex consolidata, impedendo invii multipli senza risposta. Il vecchio campo </w:t>
      </w:r>
      <w:proofErr w:type="spellStart"/>
      <w:r w:rsidRPr="00EF682C">
        <w:rPr>
          <w:rFonts w:ascii="Times New Roman" w:eastAsia="Times New Roman" w:hAnsi="Times New Roman" w:cs="Times New Roman"/>
          <w:sz w:val="24"/>
          <w:szCs w:val="24"/>
        </w:rPr>
        <w:t>reserved</w:t>
      </w:r>
      <w:proofErr w:type="spellEnd"/>
      <w:r w:rsidRPr="00EF682C">
        <w:rPr>
          <w:rFonts w:ascii="Times New Roman" w:eastAsia="Times New Roman" w:hAnsi="Times New Roman" w:cs="Times New Roman"/>
          <w:sz w:val="24"/>
          <w:szCs w:val="24"/>
        </w:rPr>
        <w:t xml:space="preserve"> è stato sostituito dalle proprietà </w:t>
      </w:r>
      <w:proofErr w:type="spellStart"/>
      <w:r w:rsidRPr="00EF682C">
        <w:rPr>
          <w:rFonts w:ascii="Times New Roman" w:eastAsia="Times New Roman" w:hAnsi="Times New Roman" w:cs="Times New Roman"/>
          <w:sz w:val="24"/>
          <w:szCs w:val="24"/>
        </w:rPr>
        <w:t>flag_esiti_vin</w:t>
      </w:r>
      <w:proofErr w:type="spellEnd"/>
      <w:r w:rsidRPr="00EF682C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EF682C">
        <w:rPr>
          <w:rFonts w:ascii="Times New Roman" w:eastAsia="Times New Roman" w:hAnsi="Times New Roman" w:cs="Times New Roman"/>
          <w:sz w:val="24"/>
          <w:szCs w:val="24"/>
        </w:rPr>
        <w:t>tipologia_sco</w:t>
      </w:r>
      <w:proofErr w:type="spellEnd"/>
      <w:r w:rsidRPr="00EF682C">
        <w:rPr>
          <w:rFonts w:ascii="Times New Roman" w:eastAsia="Times New Roman" w:hAnsi="Times New Roman" w:cs="Times New Roman"/>
          <w:sz w:val="24"/>
          <w:szCs w:val="24"/>
        </w:rPr>
        <w:t>. Questi nuovi parametri permettono di gestire meglio gli esiti vincenti multipli e le classi di vincita, diventando finalmente uno standard definitivo per tutti gli operatori del settore.</w:t>
      </w:r>
    </w:p>
    <w:p w14:paraId="304934BE" w14:textId="77777777" w:rsidR="00EF682C" w:rsidRPr="00EF682C" w:rsidRDefault="00EF682C" w:rsidP="00EF682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F682C">
        <w:rPr>
          <w:rFonts w:ascii="Times New Roman" w:eastAsia="Times New Roman" w:hAnsi="Times New Roman" w:cs="Times New Roman"/>
          <w:sz w:val="24"/>
          <w:szCs w:val="24"/>
        </w:rPr>
        <w:t xml:space="preserve">Il sistema recepisce ora i messaggi tecnici 7200,14 e 7200,15 per variare lo stato degli esiti. Questa innovazione permette di associare dati supplementari migliorando la tracciabilità delle operazioni. Grazie a tali strumenti sarà possibile chiudere i mercati in tempo reale, rendendo il modello italiano simile a quello degli </w:t>
      </w:r>
      <w:proofErr w:type="spellStart"/>
      <w:r w:rsidRPr="00EF682C">
        <w:rPr>
          <w:rFonts w:ascii="Times New Roman" w:eastAsia="Times New Roman" w:hAnsi="Times New Roman" w:cs="Times New Roman"/>
          <w:sz w:val="24"/>
          <w:szCs w:val="24"/>
        </w:rPr>
        <w:t>exchange</w:t>
      </w:r>
      <w:proofErr w:type="spellEnd"/>
      <w:r w:rsidRPr="00EF682C">
        <w:rPr>
          <w:rFonts w:ascii="Times New Roman" w:eastAsia="Times New Roman" w:hAnsi="Times New Roman" w:cs="Times New Roman"/>
          <w:sz w:val="24"/>
          <w:szCs w:val="24"/>
        </w:rPr>
        <w:t xml:space="preserve"> internazionali.</w:t>
      </w:r>
    </w:p>
    <w:p w14:paraId="037921D0" w14:textId="77777777" w:rsidR="00EF682C" w:rsidRPr="00EF682C" w:rsidRDefault="00EF682C" w:rsidP="00EF682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F682C">
        <w:rPr>
          <w:rFonts w:ascii="Times New Roman" w:eastAsia="Times New Roman" w:hAnsi="Times New Roman" w:cs="Times New Roman"/>
          <w:sz w:val="24"/>
          <w:szCs w:val="24"/>
        </w:rPr>
        <w:t>Il 12 maggio 2026 scade il termine per la certificazione delle piattaforme secondo il Decreto Legislativo 41/2024. Gli esperti spiegano che l'industria ha richiesto un rinvio a novembre, mentre le regole per i Punti Vendita Ricarica sono già slittate. La normativa punta a regolare i limiti di ricarica in contanti entro la fine dell'anno.</w:t>
      </w:r>
    </w:p>
    <w:p w14:paraId="5912D24C" w14:textId="77777777" w:rsidR="00EF682C" w:rsidRPr="00EF682C" w:rsidRDefault="00EF682C" w:rsidP="00EF682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F682C">
        <w:rPr>
          <w:rFonts w:ascii="Times New Roman" w:eastAsia="Times New Roman" w:hAnsi="Times New Roman" w:cs="Times New Roman"/>
          <w:sz w:val="24"/>
          <w:szCs w:val="24"/>
        </w:rPr>
        <w:t>Dal primo giugno 2026 diventeranno operative le norme su bonus e quote errate. I concessionari dovranno comunicare dettagliatamente l'uso dei bonus per ogni scommessa tramite campi dedicati. Il protocollo distinguerà nettamente tra saldo reale e saldo bonus. Le nuove regole permetteranno una gestione trasparente degli errori quota da parte dei bookmaker.</w:t>
      </w:r>
    </w:p>
    <w:p w14:paraId="421A8E1E" w14:textId="77777777" w:rsidR="00EF682C" w:rsidRPr="00EF682C" w:rsidRDefault="00EF682C" w:rsidP="00EF682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F682C">
        <w:rPr>
          <w:rFonts w:ascii="Courier New" w:eastAsia="Times New Roman" w:hAnsi="Courier New" w:cs="Courier New"/>
          <w:sz w:val="20"/>
          <w:szCs w:val="20"/>
        </w:rPr>
        <w:t xml:space="preserve">&lt;a href="https://www.adm.gov.it/portale/web/guest/-/pubblicazione-protocollo-di-comunicazione-psqf-5.0-in-versione-definitiva" target="_blank" </w:t>
      </w:r>
      <w:proofErr w:type="spellStart"/>
      <w:r w:rsidRPr="00EF682C">
        <w:rPr>
          <w:rFonts w:ascii="Courier New" w:eastAsia="Times New Roman" w:hAnsi="Courier New" w:cs="Courier New"/>
          <w:sz w:val="20"/>
          <w:szCs w:val="20"/>
        </w:rPr>
        <w:t>rel</w:t>
      </w:r>
      <w:proofErr w:type="spellEnd"/>
      <w:r w:rsidRPr="00EF682C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EF682C">
        <w:rPr>
          <w:rFonts w:ascii="Courier New" w:eastAsia="Times New Roman" w:hAnsi="Courier New" w:cs="Courier New"/>
          <w:sz w:val="20"/>
          <w:szCs w:val="20"/>
        </w:rPr>
        <w:t>noopener</w:t>
      </w:r>
      <w:proofErr w:type="spellEnd"/>
      <w:r w:rsidRPr="00EF682C">
        <w:rPr>
          <w:rFonts w:ascii="Courier New" w:eastAsia="Times New Roman" w:hAnsi="Courier New" w:cs="Courier New"/>
          <w:sz w:val="20"/>
          <w:szCs w:val="20"/>
        </w:rPr>
        <w:t>"&gt;L'Agenzia ha pubblicato la documentazione ufficiale del protocollo PSQF 5.0&lt;/a&gt;</w:t>
      </w:r>
      <w:r w:rsidRPr="00EF682C">
        <w:rPr>
          <w:rFonts w:ascii="Times New Roman" w:eastAsia="Times New Roman" w:hAnsi="Times New Roman" w:cs="Times New Roman"/>
          <w:sz w:val="24"/>
          <w:szCs w:val="24"/>
        </w:rPr>
        <w:t xml:space="preserve"> sul proprio portale istituzionale. L'adeguamento al protocollo favorisce la concentrazione del mercato verso i grandi operatori. Le piccole realtà senza infrastrutture cloud-native preferiscono esternalizzare i servizi a fornitori B2B, mentre i top player hanno già iniziato l'integrazione delle specifiche tecniche necessarie.</w:t>
      </w:r>
    </w:p>
    <w:p w14:paraId="0FCAECF1" w14:textId="77777777" w:rsidR="00EF682C" w:rsidRPr="00EF682C" w:rsidRDefault="00EF682C" w:rsidP="00EF682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F682C">
        <w:rPr>
          <w:rFonts w:ascii="Times New Roman" w:eastAsia="Times New Roman" w:hAnsi="Times New Roman" w:cs="Times New Roman"/>
          <w:sz w:val="24"/>
          <w:szCs w:val="24"/>
        </w:rPr>
        <w:t>I dati mostrano che i grandi gruppi come Sisal hanno già avviato i test per le nuove funzionalità. Molte aziende mirano ad anticipare i tempi per evitare disservizi durante la transizione tecnologica. L'obiettivo finale resta la stabilità del sistema centralizzato. Per approfondire le dinamiche dei concessionari e &lt;a href="https://www.sitiscommesse.com/news/attualita-e-industria/gioco-online-mappa-gioco-addii-conferme.html"&gt;quali operatori escono o confermano la presenza nel gioco online&lt;/a&gt;, è disponibile un quadro aggiornato del mercato.</w:t>
      </w:r>
    </w:p>
    <w:p w14:paraId="63A0879F" w14:textId="3680620E" w:rsidR="004D48BF" w:rsidRPr="00EF682C" w:rsidRDefault="004D48BF" w:rsidP="00EF682C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4D48BF" w:rsidRPr="00EF682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841DB"/>
    <w:multiLevelType w:val="multilevel"/>
    <w:tmpl w:val="845C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0B67FE"/>
    <w:multiLevelType w:val="multilevel"/>
    <w:tmpl w:val="7B70E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F67167"/>
    <w:multiLevelType w:val="hybridMultilevel"/>
    <w:tmpl w:val="B1C4309C"/>
    <w:lvl w:ilvl="0" w:tplc="59EE9C72">
      <w:start w:val="1"/>
      <w:numFmt w:val="bullet"/>
      <w:lvlText w:val="●"/>
      <w:lvlJc w:val="left"/>
      <w:pPr>
        <w:ind w:left="720" w:hanging="360"/>
      </w:pPr>
    </w:lvl>
    <w:lvl w:ilvl="1" w:tplc="2BA00D3C">
      <w:start w:val="1"/>
      <w:numFmt w:val="bullet"/>
      <w:lvlText w:val="○"/>
      <w:lvlJc w:val="left"/>
      <w:pPr>
        <w:ind w:left="1440" w:hanging="360"/>
      </w:pPr>
    </w:lvl>
    <w:lvl w:ilvl="2" w:tplc="0FBE3D4C">
      <w:start w:val="1"/>
      <w:numFmt w:val="bullet"/>
      <w:lvlText w:val="■"/>
      <w:lvlJc w:val="left"/>
      <w:pPr>
        <w:ind w:left="2160" w:hanging="360"/>
      </w:pPr>
    </w:lvl>
    <w:lvl w:ilvl="3" w:tplc="E444A214">
      <w:start w:val="1"/>
      <w:numFmt w:val="bullet"/>
      <w:lvlText w:val="●"/>
      <w:lvlJc w:val="left"/>
      <w:pPr>
        <w:ind w:left="2880" w:hanging="360"/>
      </w:pPr>
    </w:lvl>
    <w:lvl w:ilvl="4" w:tplc="70641BD8">
      <w:start w:val="1"/>
      <w:numFmt w:val="bullet"/>
      <w:lvlText w:val="○"/>
      <w:lvlJc w:val="left"/>
      <w:pPr>
        <w:ind w:left="3600" w:hanging="360"/>
      </w:pPr>
    </w:lvl>
    <w:lvl w:ilvl="5" w:tplc="AB543AF0">
      <w:start w:val="1"/>
      <w:numFmt w:val="bullet"/>
      <w:lvlText w:val="■"/>
      <w:lvlJc w:val="left"/>
      <w:pPr>
        <w:ind w:left="4320" w:hanging="360"/>
      </w:pPr>
    </w:lvl>
    <w:lvl w:ilvl="6" w:tplc="90B85C1C">
      <w:start w:val="1"/>
      <w:numFmt w:val="bullet"/>
      <w:lvlText w:val="●"/>
      <w:lvlJc w:val="left"/>
      <w:pPr>
        <w:ind w:left="5040" w:hanging="360"/>
      </w:pPr>
    </w:lvl>
    <w:lvl w:ilvl="7" w:tplc="3836E788">
      <w:start w:val="1"/>
      <w:numFmt w:val="bullet"/>
      <w:lvlText w:val="●"/>
      <w:lvlJc w:val="left"/>
      <w:pPr>
        <w:ind w:left="5760" w:hanging="360"/>
      </w:pPr>
    </w:lvl>
    <w:lvl w:ilvl="8" w:tplc="DE9473E4">
      <w:start w:val="1"/>
      <w:numFmt w:val="bullet"/>
      <w:lvlText w:val="●"/>
      <w:lvlJc w:val="left"/>
      <w:pPr>
        <w:ind w:left="6480" w:hanging="360"/>
      </w:pPr>
    </w:lvl>
  </w:abstractNum>
  <w:num w:numId="1" w16cid:durableId="1170563103">
    <w:abstractNumId w:val="2"/>
    <w:lvlOverride w:ilvl="0">
      <w:startOverride w:val="1"/>
    </w:lvlOverride>
  </w:num>
  <w:num w:numId="2" w16cid:durableId="1220246633">
    <w:abstractNumId w:val="1"/>
  </w:num>
  <w:num w:numId="3" w16cid:durableId="931821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6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8BF"/>
    <w:rsid w:val="000177F7"/>
    <w:rsid w:val="00154B1D"/>
    <w:rsid w:val="004D48BF"/>
    <w:rsid w:val="00CA1610"/>
    <w:rsid w:val="00EF682C"/>
    <w:rsid w:val="00F04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FD4E6"/>
  <w15:docId w15:val="{E494B866-4190-C044-A16E-7336B668E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NormaleWeb">
    <w:name w:val="Normal (Web)"/>
    <w:basedOn w:val="Normale"/>
    <w:uiPriority w:val="99"/>
    <w:unhideWhenUsed/>
    <w:rsid w:val="00F0439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60">
    <w:name w:val="citation-160"/>
    <w:basedOn w:val="Carpredefinitoparagrafo"/>
    <w:rsid w:val="00F04393"/>
  </w:style>
  <w:style w:type="character" w:customStyle="1" w:styleId="citation-159">
    <w:name w:val="citation-159"/>
    <w:basedOn w:val="Carpredefinitoparagrafo"/>
    <w:rsid w:val="00F04393"/>
  </w:style>
  <w:style w:type="character" w:customStyle="1" w:styleId="citation-158">
    <w:name w:val="citation-158"/>
    <w:basedOn w:val="Carpredefinitoparagrafo"/>
    <w:rsid w:val="00F04393"/>
  </w:style>
  <w:style w:type="character" w:customStyle="1" w:styleId="citation-157">
    <w:name w:val="citation-157"/>
    <w:basedOn w:val="Carpredefinitoparagrafo"/>
    <w:rsid w:val="00F04393"/>
  </w:style>
  <w:style w:type="character" w:customStyle="1" w:styleId="citation-156">
    <w:name w:val="citation-156"/>
    <w:basedOn w:val="Carpredefinitoparagrafo"/>
    <w:rsid w:val="00F04393"/>
  </w:style>
  <w:style w:type="character" w:customStyle="1" w:styleId="citation-155">
    <w:name w:val="citation-155"/>
    <w:basedOn w:val="Carpredefinitoparagrafo"/>
    <w:rsid w:val="00F04393"/>
  </w:style>
  <w:style w:type="character" w:customStyle="1" w:styleId="citation-154">
    <w:name w:val="citation-154"/>
    <w:basedOn w:val="Carpredefinitoparagrafo"/>
    <w:rsid w:val="00F04393"/>
  </w:style>
  <w:style w:type="character" w:customStyle="1" w:styleId="citation-153">
    <w:name w:val="citation-153"/>
    <w:basedOn w:val="Carpredefinitoparagrafo"/>
    <w:rsid w:val="00F04393"/>
  </w:style>
  <w:style w:type="character" w:customStyle="1" w:styleId="citation-152">
    <w:name w:val="citation-152"/>
    <w:basedOn w:val="Carpredefinitoparagrafo"/>
    <w:rsid w:val="00F04393"/>
  </w:style>
  <w:style w:type="character" w:customStyle="1" w:styleId="citation-151">
    <w:name w:val="citation-151"/>
    <w:basedOn w:val="Carpredefinitoparagrafo"/>
    <w:rsid w:val="00F04393"/>
  </w:style>
  <w:style w:type="character" w:customStyle="1" w:styleId="citation-150">
    <w:name w:val="citation-150"/>
    <w:basedOn w:val="Carpredefinitoparagrafo"/>
    <w:rsid w:val="00F04393"/>
  </w:style>
  <w:style w:type="character" w:customStyle="1" w:styleId="citation-149">
    <w:name w:val="citation-149"/>
    <w:basedOn w:val="Carpredefinitoparagrafo"/>
    <w:rsid w:val="00F04393"/>
  </w:style>
  <w:style w:type="character" w:customStyle="1" w:styleId="citation-148">
    <w:name w:val="citation-148"/>
    <w:basedOn w:val="Carpredefinitoparagrafo"/>
    <w:rsid w:val="00F04393"/>
  </w:style>
  <w:style w:type="character" w:customStyle="1" w:styleId="citation-147">
    <w:name w:val="citation-147"/>
    <w:basedOn w:val="Carpredefinitoparagrafo"/>
    <w:rsid w:val="00F04393"/>
  </w:style>
  <w:style w:type="character" w:customStyle="1" w:styleId="citation-146">
    <w:name w:val="citation-146"/>
    <w:basedOn w:val="Carpredefinitoparagrafo"/>
    <w:rsid w:val="00F04393"/>
  </w:style>
  <w:style w:type="character" w:customStyle="1" w:styleId="citation-145">
    <w:name w:val="citation-145"/>
    <w:basedOn w:val="Carpredefinitoparagrafo"/>
    <w:rsid w:val="00F04393"/>
  </w:style>
  <w:style w:type="character" w:customStyle="1" w:styleId="citation-144">
    <w:name w:val="citation-144"/>
    <w:basedOn w:val="Carpredefinitoparagrafo"/>
    <w:rsid w:val="00F04393"/>
  </w:style>
  <w:style w:type="character" w:customStyle="1" w:styleId="citation-143">
    <w:name w:val="citation-143"/>
    <w:basedOn w:val="Carpredefinitoparagrafo"/>
    <w:rsid w:val="00F04393"/>
  </w:style>
  <w:style w:type="character" w:customStyle="1" w:styleId="citation-142">
    <w:name w:val="citation-142"/>
    <w:basedOn w:val="Carpredefinitoparagrafo"/>
    <w:rsid w:val="00F04393"/>
  </w:style>
  <w:style w:type="character" w:customStyle="1" w:styleId="citation-141">
    <w:name w:val="citation-141"/>
    <w:basedOn w:val="Carpredefinitoparagrafo"/>
    <w:rsid w:val="00F04393"/>
  </w:style>
  <w:style w:type="character" w:styleId="CodiceHTML">
    <w:name w:val="HTML Code"/>
    <w:basedOn w:val="Carpredefinitoparagrafo"/>
    <w:uiPriority w:val="99"/>
    <w:semiHidden/>
    <w:unhideWhenUsed/>
    <w:rsid w:val="000177F7"/>
    <w:rPr>
      <w:rFonts w:ascii="Courier New" w:eastAsia="Times New Roman" w:hAnsi="Courier New" w:cs="Courier New"/>
      <w:sz w:val="20"/>
      <w:szCs w:val="20"/>
    </w:rPr>
  </w:style>
  <w:style w:type="character" w:styleId="Enfasigrassetto">
    <w:name w:val="Strong"/>
    <w:basedOn w:val="Carpredefinitoparagrafo"/>
    <w:uiPriority w:val="22"/>
    <w:qFormat/>
    <w:rsid w:val="00EF68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470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Alberto Lattuada</cp:lastModifiedBy>
  <cp:revision>4</cp:revision>
  <dcterms:created xsi:type="dcterms:W3CDTF">2026-03-02T20:25:00Z</dcterms:created>
  <dcterms:modified xsi:type="dcterms:W3CDTF">2026-03-04T14:53:00Z</dcterms:modified>
</cp:coreProperties>
</file>