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i 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pt-PT"/>
        </w:rPr>
        <w:t>SEO Title:</w:t>
      </w:r>
      <w:r>
        <w:rPr>
          <w:rFonts w:ascii="Times Roman" w:hAnsi="Times Roman"/>
          <w:rtl w:val="0"/>
          <w:lang w:val="it-IT"/>
        </w:rPr>
        <w:t xml:space="preserve"> Nuove concessioni gioco online: cosa cambia per </w:t>
      </w:r>
      <w:r>
        <w:rPr>
          <w:rFonts w:ascii="Times Roman" w:hAnsi="Times Roman"/>
          <w:rtl w:val="0"/>
          <w:lang w:val="it-IT"/>
        </w:rPr>
        <w:t xml:space="preserve">gli </w:t>
      </w:r>
      <w:r>
        <w:rPr>
          <w:rFonts w:ascii="Times Roman" w:hAnsi="Times Roman"/>
          <w:rtl w:val="0"/>
          <w:lang w:val="it-IT"/>
        </w:rPr>
        <w:t>utenti dal 13 novembre</w:t>
      </w:r>
    </w:p>
    <w:p>
      <w:pPr>
        <w:pStyle w:val="Di 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Meta description: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it-IT"/>
        </w:rPr>
        <w:t>Il</w:t>
      </w:r>
      <w:r>
        <w:rPr>
          <w:rFonts w:ascii="Times Roman" w:hAnsi="Times Roman"/>
          <w:rtl w:val="0"/>
          <w:lang w:val="it-IT"/>
        </w:rPr>
        <w:t xml:space="preserve"> 13 novembre 2025 </w:t>
      </w:r>
      <w:r>
        <w:rPr>
          <w:rFonts w:ascii="Times Roman" w:hAnsi="Times Roman"/>
          <w:rtl w:val="0"/>
          <w:lang w:val="it-IT"/>
        </w:rPr>
        <w:t>sono entrate</w:t>
      </w:r>
      <w:r>
        <w:rPr>
          <w:rFonts w:ascii="Times Roman" w:hAnsi="Times Roman"/>
          <w:rtl w:val="0"/>
          <w:lang w:val="it-IT"/>
        </w:rPr>
        <w:t xml:space="preserve"> in vigore le nuove concessioni ADM. SPID obbligatorio, rivalidazione conti, migrazioni forzate. Guida per i giocatori italiani.</w:t>
      </w:r>
    </w:p>
    <w:p>
      <w:pPr>
        <w:pStyle w:val="Di 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Caption:</w:t>
      </w:r>
      <w:r>
        <w:rPr>
          <w:rFonts w:ascii="Times Roman" w:hAnsi="Times Roman"/>
          <w:rtl w:val="0"/>
          <w:lang w:val="it-IT"/>
        </w:rPr>
        <w:t xml:space="preserve"> Riforma ADM: guida al primo accesso con le nuove concessioni</w:t>
      </w:r>
    </w:p>
    <w:p>
      <w:pPr>
        <w:pStyle w:val="Di 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&lt;strong&gt;INTRO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it-IT"/>
        </w:rPr>
        <w:t xml:space="preserve">Alla mezzanotte del 13 novembre 2025 il mercato italiano del gioco online </w:t>
      </w:r>
      <w:r>
        <w:rPr>
          <w:rFonts w:ascii="Times Roman" w:hAnsi="Times Roman" w:hint="default"/>
          <w:rtl w:val="0"/>
          <w:lang w:val="it-IT"/>
        </w:rPr>
        <w:t xml:space="preserve">è </w:t>
      </w:r>
      <w:r>
        <w:rPr>
          <w:rFonts w:ascii="Times Roman" w:hAnsi="Times Roman"/>
          <w:rtl w:val="0"/>
          <w:lang w:val="it-IT"/>
        </w:rPr>
        <w:t>entrato</w:t>
      </w:r>
      <w:r>
        <w:rPr>
          <w:rFonts w:ascii="Times Roman" w:hAnsi="Times Roman"/>
          <w:rtl w:val="0"/>
          <w:lang w:val="it-IT"/>
        </w:rPr>
        <w:t xml:space="preserve"> in una nuova era. </w:t>
      </w:r>
      <w:r>
        <w:rPr>
          <w:rFonts w:ascii="Times Roman" w:hAnsi="Times Roman"/>
          <w:rtl w:val="0"/>
          <w:lang w:val="it-IT"/>
        </w:rPr>
        <w:t>Sono cessate</w:t>
      </w:r>
      <w:r>
        <w:rPr>
          <w:rFonts w:ascii="Times Roman" w:hAnsi="Times Roman"/>
          <w:rtl w:val="0"/>
          <w:lang w:val="it-IT"/>
        </w:rPr>
        <w:t xml:space="preserve"> le vecchie concessioni</w:t>
      </w:r>
      <w:r>
        <w:rPr>
          <w:rFonts w:ascii="Times Roman" w:hAnsi="Times Roman"/>
          <w:rtl w:val="0"/>
          <w:lang w:val="it-IT"/>
        </w:rPr>
        <w:t xml:space="preserve"> e partite</w:t>
      </w:r>
      <w:r>
        <w:rPr>
          <w:rFonts w:ascii="Times Roman" w:hAnsi="Times Roman"/>
          <w:rtl w:val="0"/>
          <w:lang w:val="it-IT"/>
        </w:rPr>
        <w:t xml:space="preserve"> 52 nuove licenze per 46 </w:t>
      </w:r>
      <w:r>
        <w:rPr>
          <w:rFonts w:ascii="Times Roman" w:hAnsi="Times Roman"/>
          <w:rtl w:val="0"/>
          <w:lang w:val="it-IT"/>
        </w:rPr>
        <w:t>aziende di gioco</w:t>
      </w:r>
      <w:r>
        <w:rPr>
          <w:rFonts w:ascii="Times Roman" w:hAnsi="Times Roman"/>
          <w:rtl w:val="0"/>
          <w:lang w:val="it-IT"/>
        </w:rPr>
        <w:t xml:space="preserve">. Gli utenti </w:t>
      </w:r>
      <w:r>
        <w:rPr>
          <w:rFonts w:ascii="Times Roman" w:hAnsi="Times Roman"/>
          <w:rtl w:val="0"/>
          <w:lang w:val="it-IT"/>
        </w:rPr>
        <w:t>devono</w:t>
      </w:r>
      <w:r>
        <w:rPr>
          <w:rFonts w:ascii="Times Roman" w:hAnsi="Times Roman"/>
          <w:rtl w:val="0"/>
          <w:lang w:val="it-IT"/>
        </w:rPr>
        <w:t xml:space="preserve"> rivalidare i conti, accettare nuovi contratti e utilizzare SPID per le registrazioni.&lt;/strong&gt;</w:t>
      </w:r>
    </w:p>
    <w:p>
      <w:pPr>
        <w:pStyle w:val="Di default"/>
        <w:suppressAutoHyphens w:val="1"/>
        <w:spacing w:before="0" w:after="281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it-IT"/>
        </w:rPr>
        <w:t>&lt;h2&gt;Primo accesso: SPID obbligatorio e verifica identit</w:t>
      </w:r>
      <w:r>
        <w:rPr>
          <w:rFonts w:ascii="Times Roman" w:hAnsi="Times Roman" w:hint="default"/>
          <w:sz w:val="28"/>
          <w:szCs w:val="28"/>
          <w:rtl w:val="0"/>
        </w:rPr>
        <w:t>à</w:t>
      </w:r>
      <w:r>
        <w:rPr>
          <w:rFonts w:ascii="Times Roman" w:hAnsi="Times Roman"/>
          <w:sz w:val="28"/>
          <w:szCs w:val="28"/>
          <w:rtl w:val="0"/>
        </w:rPr>
        <w:t>&lt;/h2&gt;</w:t>
      </w:r>
    </w:p>
    <w:p>
      <w:pPr>
        <w:pStyle w:val="Di 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Dal 13 novembre chi vuole aprire un nuovo conto gioco dovr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it-IT"/>
        </w:rPr>
        <w:t>utilizzare &lt;strong&gt;SPID o carta d'identit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it-IT"/>
        </w:rPr>
        <w:t>elettronica&lt;/strong&gt; per completare la registrazione. Non sar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>pi</w:t>
      </w:r>
      <w:r>
        <w:rPr>
          <w:rFonts w:ascii="Times Roman" w:hAnsi="Times Roman" w:hint="default"/>
          <w:rtl w:val="0"/>
          <w:lang w:val="it-IT"/>
        </w:rPr>
        <w:t xml:space="preserve">ù </w:t>
      </w:r>
      <w:r>
        <w:rPr>
          <w:rFonts w:ascii="Times Roman" w:hAnsi="Times Roman"/>
          <w:rtl w:val="0"/>
          <w:lang w:val="it-IT"/>
        </w:rPr>
        <w:t>sufficiente inserire i dati anagrafici manualmente. L'Agenzia delle Dogane e dei Monopoli ha stabilito questa misura per rafforzare i controlli anti-riciclaggio e proteggere i minori dall'accesso alle piattaforme di gioco.</w:t>
      </w:r>
    </w:p>
    <w:p>
      <w:pPr>
        <w:pStyle w:val="Di 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Gli utenti che possiedono gi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it-IT"/>
        </w:rPr>
        <w:t>un conto gioco attivo dovranno invece &lt;strong&gt;rivalidare i propri documenti d'identit</w:t>
      </w:r>
      <w:r>
        <w:rPr>
          <w:rFonts w:ascii="Times Roman" w:hAnsi="Times Roman" w:hint="default"/>
          <w:rtl w:val="0"/>
        </w:rPr>
        <w:t>à</w:t>
      </w:r>
      <w:r>
        <w:rPr>
          <w:rFonts w:ascii="Times Roman" w:hAnsi="Times Roman"/>
          <w:rtl w:val="0"/>
          <w:lang w:val="it-IT"/>
        </w:rPr>
        <w:t>&lt;/strong&gt; e accettare i nuovi termini e condizioni per continuare a operare. I concessionari hanno iniziato a inviare comunicazioni nelle settimane precedenti, richiedendo agli utenti di verificare le proprie credenziali attraverso le piattaforme dedicate.</w:t>
      </w:r>
    </w:p>
    <w:p>
      <w:pPr>
        <w:pStyle w:val="Di 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Il saldo e lo storico delle giocate rimarranno conservati senza modifiche. Non ci sar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it-IT"/>
        </w:rPr>
        <w:t>alcuna perdita di fondi o dati durante la transizione. Gli operatori garantiscono la &lt;strong&gt;continuit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it-IT"/>
        </w:rPr>
        <w:t>operativa degli account esistenti&lt;/strong&gt;, ma l'accesso alle funzionalit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it-IT"/>
        </w:rPr>
        <w:t>di gioco sar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it-IT"/>
        </w:rPr>
        <w:t>possibile solo dopo aver completato la procedura di rivalidazione.</w:t>
      </w:r>
    </w:p>
    <w:p>
      <w:pPr>
        <w:pStyle w:val="Di 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Le tempistiche per completare la verifica variano da operatore a operatore. Alcuni concessionari hanno richiesto la rivalidazione entro i primi giorni di novembre, altri hanno concesso finestre temporali pi</w:t>
      </w:r>
      <w:r>
        <w:rPr>
          <w:rFonts w:ascii="Times Roman" w:hAnsi="Times Roman" w:hint="default"/>
          <w:rtl w:val="0"/>
          <w:lang w:val="it-IT"/>
        </w:rPr>
        <w:t xml:space="preserve">ù </w:t>
      </w:r>
      <w:r>
        <w:rPr>
          <w:rFonts w:ascii="Times Roman" w:hAnsi="Times Roman"/>
          <w:rtl w:val="0"/>
          <w:lang w:val="it-IT"/>
        </w:rPr>
        <w:t>ampie. Gli utenti che non completeranno la procedura vedranno &lt;strong&gt;temporaneamente bloccato l'accesso al conto gioco&lt;/strong&gt; fino al completamento degli adempimenti richiesti.</w:t>
      </w:r>
    </w:p>
    <w:p>
      <w:pPr>
        <w:pStyle w:val="Di default"/>
        <w:suppressAutoHyphens w:val="1"/>
        <w:spacing w:before="0" w:after="281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it-IT"/>
        </w:rPr>
        <w:t>&lt;h2&gt;Migrazioni forzate e consolidamento del mercato&lt;/h2&gt;</w:t>
      </w:r>
    </w:p>
    <w:p>
      <w:pPr>
        <w:pStyle w:val="Di 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Alcuni operatori hanno cessato l'attivit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it-IT"/>
        </w:rPr>
        <w:t xml:space="preserve">sul mercato italiano, trasferendo i propri clienti verso altri concessionari. &lt;strong&gt;Betway ha migrato la propria base utenti su Lottomatica&lt;/strong&gt;, rafforzando ulteriormente la posizione dominante del gruppo IGT nel settore. Unibet ha trasferito i clienti su Codere, mentre Betaland </w:t>
      </w:r>
      <w:r>
        <w:rPr>
          <w:rFonts w:ascii="Times Roman" w:hAnsi="Times Roman" w:hint="default"/>
          <w:rtl w:val="0"/>
          <w:lang w:val="it-IT"/>
        </w:rPr>
        <w:t xml:space="preserve">è </w:t>
      </w:r>
      <w:r>
        <w:rPr>
          <w:rFonts w:ascii="Times Roman" w:hAnsi="Times Roman"/>
          <w:rtl w:val="0"/>
          <w:lang w:val="it-IT"/>
        </w:rPr>
        <w:t>confluito in Vittoria Bet.</w:t>
      </w:r>
    </w:p>
    <w:p>
      <w:pPr>
        <w:pStyle w:val="Di 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 xml:space="preserve">La riforma prevede che ogni </w:t>
      </w:r>
      <w:r>
        <w:rPr>
          <w:rFonts w:ascii="Times Roman" w:hAnsi="Times Roman"/>
          <w:rtl w:val="0"/>
          <w:lang w:val="it-IT"/>
        </w:rPr>
        <w:t>concessione acquistata</w:t>
      </w:r>
      <w:r>
        <w:rPr>
          <w:rFonts w:ascii="Times Roman" w:hAnsi="Times Roman"/>
          <w:rtl w:val="0"/>
          <w:lang w:val="it-IT"/>
        </w:rPr>
        <w:t xml:space="preserve"> possa gestire &lt;strong&gt;un unico dominio per le scommesse&lt;/strong&gt;, eliminando definitivamente il sistema delle "skin" multiple. Questo significa che operatori che in passato gestivano pi</w:t>
      </w:r>
      <w:r>
        <w:rPr>
          <w:rFonts w:ascii="Times Roman" w:hAnsi="Times Roman" w:hint="default"/>
          <w:rtl w:val="0"/>
          <w:lang w:val="it-IT"/>
        </w:rPr>
        <w:t xml:space="preserve">ù </w:t>
      </w:r>
      <w:r>
        <w:rPr>
          <w:rFonts w:ascii="Times Roman" w:hAnsi="Times Roman"/>
          <w:rtl w:val="0"/>
          <w:lang w:val="it-IT"/>
        </w:rPr>
        <w:t>brand sotto un'unica licenza dovranno ora scegliere un solo marchio commerciale per operare sul territorio italiano.</w:t>
      </w:r>
    </w:p>
    <w:p>
      <w:pPr>
        <w:pStyle w:val="Di 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Il passaggio da oltre ottanta operatori attivi a &lt;strong&gt;46 concessionari autorizzati&lt;/strong&gt; rappresenta un consolidamento del mercato senza precedenti nella storia del gioco online italiano. Gli analisti stimano che i due gruppi principali, Flutter Entertainment e Lottomatica, controlleranno circa il 55-60% del mercato complessivo post-riforma.</w:t>
      </w:r>
    </w:p>
    <w:p>
      <w:pPr>
        <w:pStyle w:val="Di default"/>
        <w:suppressAutoHyphens w:val="1"/>
        <w:spacing w:before="0" w:after="240" w:line="240" w:lineRule="auto"/>
      </w:pPr>
      <w:r>
        <w:rPr>
          <w:rFonts w:ascii="Times Roman" w:hAnsi="Times Roman"/>
          <w:rtl w:val="0"/>
          <w:lang w:val="it-IT"/>
        </w:rPr>
        <w:t>Il &lt;a href="https://www.gazzettaufficiale.it/eli/id/2024/04/03/24G00060/SG" target="_blank"&gt;decreto legislativo 41/2024&lt;/a&gt; pubblicato in Gazzetta Ufficiale stabilisce le nuove regole tecniche per i concessionari, imponendo standard pi</w:t>
      </w:r>
      <w:r>
        <w:rPr>
          <w:rFonts w:ascii="Times Roman" w:hAnsi="Times Roman" w:hint="default"/>
          <w:rtl w:val="0"/>
          <w:lang w:val="it-IT"/>
        </w:rPr>
        <w:t xml:space="preserve">ù </w:t>
      </w:r>
      <w:r>
        <w:rPr>
          <w:rFonts w:ascii="Times Roman" w:hAnsi="Times Roman"/>
          <w:rtl w:val="0"/>
          <w:lang w:val="it-IT"/>
        </w:rPr>
        <w:t>elevati in termini di sicurezza, trasparenza e responsabilit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it-IT"/>
        </w:rPr>
        <w:t>sociale. Gli operatori dovranno sostenere investimenti significativi su infrastrutture tecnologiche e sistemi di controllo per garantire la conformit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it-IT"/>
        </w:rPr>
        <w:t>alle nuove disposizioni normative.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480" w:footer="48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Intestazione e piè di pagina"/>
      <w:tabs>
        <w:tab w:val="center" w:pos="4510"/>
      </w:tabs>
      <w:jc w:val="left"/>
    </w:pPr>
    <w:r>
      <w:rPr>
        <w:rtl w:val="0"/>
      </w:rPr>
      <w:t>Pi</w:t>
    </w:r>
    <w:r>
      <w:rPr>
        <w:rtl w:val="0"/>
        <w:lang w:val="it-IT"/>
      </w:rPr>
      <w:t xml:space="preserve">è </w:t>
    </w:r>
    <w:r>
      <w:rPr>
        <w:rtl w:val="0"/>
        <w:lang w:val="it-IT"/>
      </w:rPr>
      <w:t>di pagina</w:t>
    </w:r>
    <w:r>
      <w:tab/>
      <w:tab/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italiano" w:val="‘“(〔[{〈《「『【⦅〘〖«〝︵︷︹︻︽︿﹁﹃﹇﹙﹛﹝｢"/>
  <w:noLineBreaksBefore w:lang="italiano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Intestazione e piè di pagina">
    <w:name w:val="Intestazione e piè di pagina"/>
    <w:next w:val="Intestazione e piè di pagina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i default">
    <w:name w:val="Di default"/>
    <w:next w:val="Di 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21_Simple_Report">
  <a:themeElements>
    <a:clrScheme name="21_Simple_Report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21_Simple_Report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21_Simple_Repor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30000"/>
          </a:lnSpc>
          <a:spcBef>
            <a:spcPts val="1200"/>
          </a:spcBef>
          <a:spcAft>
            <a:spcPts val="0"/>
          </a:spcAft>
          <a:buClrTx/>
          <a:buSzTx/>
          <a:buFontTx/>
          <a:buNone/>
          <a:tabLst/>
          <a:defRPr b="0" baseline="0" cap="none" i="0" spc="36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