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i default"/>
        <w:suppressAutoHyphens w:val="1"/>
        <w:spacing w:before="0" w:after="240" w:line="240" w:lineRule="auto"/>
        <w:rPr>
          <w:rFonts w:ascii="Times Roman" w:cs="Times Roman" w:hAnsi="Times Roman" w:eastAsia="Times Roman"/>
        </w:rPr>
      </w:pPr>
      <w:r>
        <w:rPr>
          <w:rFonts w:ascii="Times Roman" w:hAnsi="Times Roman"/>
          <w:b w:val="1"/>
          <w:bCs w:val="1"/>
          <w:rtl w:val="0"/>
          <w:lang w:val="pt-PT"/>
        </w:rPr>
        <w:t>SEO Title</w:t>
      </w:r>
      <w:r>
        <w:rPr>
          <w:rFonts w:ascii="Times Roman" w:hAnsi="Times Roman"/>
          <w:rtl w:val="0"/>
          <w:lang w:val="it-IT"/>
        </w:rPr>
        <w:t>: ADM al Politecnico: sorveglianza AI su 150 mld di gioco</w:t>
      </w:r>
    </w:p>
    <w:p>
      <w:pPr>
        <w:pStyle w:val="Di default"/>
        <w:suppressAutoHyphens w:val="1"/>
        <w:spacing w:before="0" w:after="240" w:line="240" w:lineRule="auto"/>
        <w:rPr>
          <w:rFonts w:ascii="Times Roman" w:cs="Times Roman" w:hAnsi="Times Roman" w:eastAsia="Times Roman"/>
        </w:rPr>
      </w:pPr>
      <w:r>
        <w:rPr>
          <w:rFonts w:ascii="Times Roman" w:hAnsi="Times Roman"/>
          <w:b w:val="1"/>
          <w:bCs w:val="1"/>
          <w:rtl w:val="0"/>
          <w:lang w:val="fr-FR"/>
        </w:rPr>
        <w:t>Meta description</w:t>
      </w:r>
      <w:r>
        <w:rPr>
          <w:rFonts w:ascii="Times Roman" w:hAnsi="Times Roman"/>
          <w:rtl w:val="0"/>
          <w:lang w:val="it-IT"/>
        </w:rPr>
        <w:t>: L'Agenzia delle Dogane ha presentato ieri al Politecnico di Milano il sistema di sorveglianza algoritmica real-time. Compliance continua e nuovi requisiti tech.</w:t>
      </w:r>
    </w:p>
    <w:p>
      <w:pPr>
        <w:pStyle w:val="Di 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Caption</w:t>
      </w:r>
      <w:r>
        <w:rPr>
          <w:rFonts w:ascii="Times Roman" w:hAnsi="Times Roman"/>
          <w:rtl w:val="0"/>
          <w:lang w:val="it-IT"/>
        </w:rPr>
        <w:t>: ADM porta intelligenza artificiale nel controllo gioco</w:t>
      </w:r>
    </w:p>
    <w:p>
      <w:pPr>
        <w:pStyle w:val="Di default"/>
        <w:suppressAutoHyphens w:val="1"/>
        <w:spacing w:before="0" w:after="240" w:line="240" w:lineRule="auto"/>
        <w:rPr>
          <w:rFonts w:ascii="Times Roman" w:cs="Times Roman" w:hAnsi="Times Roman" w:eastAsia="Times Roman"/>
        </w:rPr>
      </w:pPr>
      <w:r>
        <w:rPr>
          <w:rFonts w:ascii="Times Roman" w:hAnsi="Times Roman"/>
          <w:rtl w:val="0"/>
          <w:lang w:val="it-IT"/>
        </w:rPr>
        <w:t>&lt;strong&gt;L'Agenzia delle Dogane e dei Monopoli ha presentato l'8-9 ottobre 2025 al Politecnico di Milano la strategia di intelligenza artificiale per il settore gioco. Il Professor Luca Gastaldi ha illustrato il sistema di monitoraggio real-time per un mercato da oltre 150 miliardi di euro raccolti nel 2024.&lt;/strong&gt;</w:t>
      </w:r>
    </w:p>
    <w:p>
      <w:pPr>
        <w:pStyle w:val="Di default"/>
        <w:suppressAutoHyphens w:val="1"/>
        <w:spacing w:before="0" w:line="240" w:lineRule="auto"/>
        <w:rPr>
          <w:rFonts w:ascii="Times Roman" w:cs="Times Roman" w:hAnsi="Times Roman" w:eastAsia="Times Roman"/>
        </w:rPr>
      </w:pPr>
      <w:r>
        <w:rPr>
          <w:rFonts w:ascii="Times Roman" w:hAnsi="Times Roman"/>
          <w:rtl w:val="0"/>
          <w:lang w:val="it-IT"/>
        </w:rPr>
        <w:t>&lt;h2&gt;Tre ambiti operativi per l'AI nel gioco&lt;/h2&gt;</w:t>
      </w:r>
    </w:p>
    <w:p>
      <w:pPr>
        <w:pStyle w:val="Di default"/>
        <w:suppressAutoHyphens w:val="1"/>
        <w:spacing w:before="0" w:line="240" w:lineRule="auto"/>
        <w:rPr>
          <w:rFonts w:ascii="Times Roman" w:cs="Times Roman" w:hAnsi="Times Roman" w:eastAsia="Times Roman"/>
        </w:rPr>
      </w:pPr>
    </w:p>
    <w:p>
      <w:pPr>
        <w:pStyle w:val="Di default"/>
        <w:suppressAutoHyphens w:val="1"/>
        <w:spacing w:before="0" w:line="240" w:lineRule="auto"/>
        <w:rPr>
          <w:rFonts w:ascii="Times Roman" w:cs="Times Roman" w:hAnsi="Times Roman" w:eastAsia="Times Roman"/>
        </w:rPr>
      </w:pPr>
      <w:r>
        <w:rPr>
          <w:rFonts w:ascii="Times Roman" w:hAnsi="Times Roman"/>
          <w:rtl w:val="0"/>
          <w:lang w:val="it-IT"/>
        </w:rPr>
        <w:t>Il Professor Luca Gastaldi, Direttore dell'Osservatorio Agenda Digitale del Politecnico e collaboratore di ADM nella stesura del Piano Triennale per l'informatica nella PA, ha delineato durante il &lt;a href="https://www.adm.gov.it/portale/-/ital_ia-tra-dati-pubblici-e-algoritmi" target="_blank"&gt;convegno Ital.IA: tra dati pubblici e algoritmi&lt;/a&gt; organizzato da ADM insieme a Sogei i tre ambiti in cui &lt;strong&gt;dati e algoritmi faranno la differenza&lt;/strong&gt; per il comparto monopoli secondo l'Agenzia.</w:t>
      </w:r>
    </w:p>
    <w:p>
      <w:pPr>
        <w:pStyle w:val="Di default"/>
        <w:suppressAutoHyphens w:val="1"/>
        <w:spacing w:before="0" w:after="240" w:line="240" w:lineRule="auto"/>
        <w:rPr>
          <w:rFonts w:ascii="Times Roman" w:cs="Times Roman" w:hAnsi="Times Roman" w:eastAsia="Times Roman"/>
        </w:rPr>
      </w:pPr>
      <w:r>
        <w:rPr>
          <w:rFonts w:ascii="Times Roman" w:hAnsi="Times Roman"/>
          <w:rtl w:val="0"/>
          <w:lang w:val="it-IT"/>
        </w:rPr>
        <w:t>Il primo ambito riguarda &lt;strong&gt;rilevamento e analisi&lt;/strong&gt;: identificazione precoce di comportamenti sospetti o illegali, analisi predittiva contro le ludopatie, profilazione dei rischi per punti vendita. Gastaldi ha presentato dati secondo cui nel 2024 il canale online raggiunger</w:t>
      </w:r>
      <w:r>
        <w:rPr>
          <w:rFonts w:ascii="Times Roman" w:hAnsi="Times Roman" w:hint="default"/>
          <w:rtl w:val="0"/>
        </w:rPr>
        <w:t xml:space="preserve">à </w:t>
      </w:r>
      <w:r>
        <w:rPr>
          <w:rFonts w:ascii="Times Roman" w:hAnsi="Times Roman"/>
          <w:rtl w:val="0"/>
          <w:lang w:val="it-IT"/>
        </w:rPr>
        <w:t>circa 92 miliardi di euro, pari al 58,5% della raccolta totale, superando definitivamente il canale fisico che si attesta sui 65 miliardi.</w:t>
      </w:r>
    </w:p>
    <w:p>
      <w:pPr>
        <w:pStyle w:val="Di default"/>
        <w:suppressAutoHyphens w:val="1"/>
        <w:spacing w:before="0" w:after="240" w:line="240" w:lineRule="auto"/>
        <w:rPr>
          <w:rFonts w:ascii="Times Roman" w:cs="Times Roman" w:hAnsi="Times Roman" w:eastAsia="Times Roman"/>
        </w:rPr>
      </w:pPr>
      <w:r>
        <w:rPr>
          <w:rFonts w:ascii="Times Roman" w:hAnsi="Times Roman"/>
          <w:rtl w:val="0"/>
          <w:lang w:val="it-IT"/>
        </w:rPr>
        <w:t>Il secondo ambito si concentra su &lt;strong&gt;gestione e compliance&lt;/strong&gt;: gestione anticipata di dinamiche di mercato, verifica di conformit</w:t>
      </w:r>
      <w:r>
        <w:rPr>
          <w:rFonts w:ascii="Times Roman" w:hAnsi="Times Roman" w:hint="default"/>
          <w:rtl w:val="0"/>
        </w:rPr>
        <w:t xml:space="preserve">à </w:t>
      </w:r>
      <w:r>
        <w:rPr>
          <w:rFonts w:ascii="Times Roman" w:hAnsi="Times Roman"/>
          <w:rtl w:val="0"/>
          <w:lang w:val="it-IT"/>
        </w:rPr>
        <w:t>degli operatori, personalizzazione delle politiche di prevenzione. Il sistema replica il modello AIDA 2.0 gi</w:t>
      </w:r>
      <w:r>
        <w:rPr>
          <w:rFonts w:ascii="Times Roman" w:hAnsi="Times Roman" w:hint="default"/>
          <w:rtl w:val="0"/>
        </w:rPr>
        <w:t xml:space="preserve">à </w:t>
      </w:r>
      <w:r>
        <w:rPr>
          <w:rFonts w:ascii="Times Roman" w:hAnsi="Times Roman"/>
          <w:rtl w:val="0"/>
          <w:lang w:val="it-IT"/>
        </w:rPr>
        <w:t xml:space="preserve">utilizzato per le dogane, dove la documentazione cartacea </w:t>
      </w:r>
      <w:r>
        <w:rPr>
          <w:rFonts w:ascii="Times Roman" w:hAnsi="Times Roman" w:hint="default"/>
          <w:rtl w:val="0"/>
          <w:lang w:val="it-IT"/>
        </w:rPr>
        <w:t xml:space="preserve">è </w:t>
      </w:r>
      <w:r>
        <w:rPr>
          <w:rFonts w:ascii="Times Roman" w:hAnsi="Times Roman"/>
          <w:rtl w:val="0"/>
          <w:lang w:val="it-IT"/>
        </w:rPr>
        <w:t>stata sostituita con flussi di dati strutturati in formato XML che vengono analizzati in tempo reale.</w:t>
      </w:r>
    </w:p>
    <w:p>
      <w:pPr>
        <w:pStyle w:val="Di default"/>
        <w:suppressAutoHyphens w:val="1"/>
        <w:spacing w:before="0" w:after="240" w:line="240" w:lineRule="auto"/>
        <w:rPr>
          <w:rFonts w:ascii="Times Roman" w:cs="Times Roman" w:hAnsi="Times Roman" w:eastAsia="Times Roman"/>
        </w:rPr>
      </w:pPr>
      <w:r>
        <w:rPr>
          <w:rFonts w:ascii="Times Roman" w:hAnsi="Times Roman"/>
          <w:rtl w:val="0"/>
          <w:lang w:val="it-IT"/>
        </w:rPr>
        <w:t>Il terzo ambito riguarda l'ecosistema dati: raccolta di informazioni su vincite e pagamenti, controlli e anomalie, operatori e giocatori, dati integrativi da operatori terzi. Gastaldi ha equiparato la complessit</w:t>
      </w:r>
      <w:r>
        <w:rPr>
          <w:rFonts w:ascii="Times Roman" w:hAnsi="Times Roman" w:hint="default"/>
          <w:rtl w:val="0"/>
        </w:rPr>
        <w:t xml:space="preserve">à </w:t>
      </w:r>
      <w:r>
        <w:rPr>
          <w:rFonts w:ascii="Times Roman" w:hAnsi="Times Roman"/>
          <w:rtl w:val="0"/>
          <w:lang w:val="it-IT"/>
        </w:rPr>
        <w:t>del settore monopoli a quella di Accise e Dogane, indicando un approccio integrato all'interno dell'Agenzia.</w:t>
      </w:r>
    </w:p>
    <w:p>
      <w:pPr>
        <w:pStyle w:val="Di default"/>
        <w:suppressAutoHyphens w:val="1"/>
        <w:spacing w:before="0" w:line="240" w:lineRule="auto"/>
        <w:rPr>
          <w:rFonts w:ascii="Times Roman" w:cs="Times Roman" w:hAnsi="Times Roman" w:eastAsia="Times Roman"/>
        </w:rPr>
      </w:pPr>
      <w:r>
        <w:rPr>
          <w:rFonts w:ascii="Times Roman" w:hAnsi="Times Roman"/>
          <w:rtl w:val="0"/>
          <w:lang w:val="it-IT"/>
        </w:rPr>
        <w:t>&lt;h2&gt;Dichiarazioni istituzionali e timeline&lt;/h2&gt;</w:t>
      </w:r>
    </w:p>
    <w:p>
      <w:pPr>
        <w:pStyle w:val="Di default"/>
        <w:suppressAutoHyphens w:val="1"/>
        <w:spacing w:before="0" w:line="240" w:lineRule="auto"/>
        <w:rPr>
          <w:rFonts w:ascii="Times Roman" w:cs="Times Roman" w:hAnsi="Times Roman" w:eastAsia="Times Roman"/>
        </w:rPr>
      </w:pPr>
    </w:p>
    <w:p>
      <w:pPr>
        <w:pStyle w:val="Di default"/>
        <w:suppressAutoHyphens w:val="1"/>
        <w:spacing w:before="0" w:line="240" w:lineRule="auto"/>
        <w:rPr>
          <w:rFonts w:ascii="Times Roman" w:cs="Times Roman" w:hAnsi="Times Roman" w:eastAsia="Times Roman"/>
        </w:rPr>
      </w:pPr>
      <w:r>
        <w:rPr>
          <w:rFonts w:ascii="Times Roman" w:hAnsi="Times Roman"/>
          <w:rtl w:val="0"/>
          <w:lang w:val="it-IT"/>
        </w:rPr>
        <w:t>Il Direttore di ADM Roberto Alesse ha dichiarato durante l'apertura dei lavori che l'Agenzia gestisce oltre 93 milioni di dichiarazioni doganali annue e rappresenta &lt;strong&gt;una delle pi</w:t>
      </w:r>
      <w:r>
        <w:rPr>
          <w:rFonts w:ascii="Times Roman" w:hAnsi="Times Roman" w:hint="default"/>
          <w:rtl w:val="0"/>
          <w:lang w:val="it-IT"/>
        </w:rPr>
        <w:t xml:space="preserve">ù </w:t>
      </w:r>
      <w:r>
        <w:rPr>
          <w:rFonts w:ascii="Times Roman" w:hAnsi="Times Roman"/>
          <w:rtl w:val="0"/>
          <w:lang w:val="it-IT"/>
        </w:rPr>
        <w:t xml:space="preserve">grandi piattaforme di dati pubblici&lt;/strong&gt; del Paese. Alesse ha sottolineato che "i dati costituiscono oggi una nuova infrastruttura critica" e che l'intelligenza artificiale </w:t>
      </w:r>
      <w:r>
        <w:rPr>
          <w:rFonts w:ascii="Times Roman" w:hAnsi="Times Roman" w:hint="default"/>
          <w:rtl w:val="0"/>
          <w:lang w:val="it-IT"/>
        </w:rPr>
        <w:t xml:space="preserve">è </w:t>
      </w:r>
      <w:r>
        <w:rPr>
          <w:rFonts w:ascii="Times Roman" w:hAnsi="Times Roman"/>
          <w:rtl w:val="0"/>
          <w:lang w:val="it-IT"/>
        </w:rPr>
        <w:t>la leva per trasformare questa massa informativa in conoscenza utile e decisioni rapide.</w:t>
      </w:r>
    </w:p>
    <w:p>
      <w:pPr>
        <w:pStyle w:val="Di default"/>
        <w:suppressAutoHyphens w:val="1"/>
        <w:spacing w:before="0" w:after="240" w:line="240" w:lineRule="auto"/>
        <w:rPr>
          <w:rFonts w:ascii="Times Roman" w:cs="Times Roman" w:hAnsi="Times Roman" w:eastAsia="Times Roman"/>
        </w:rPr>
      </w:pPr>
      <w:r>
        <w:rPr>
          <w:rFonts w:ascii="Times Roman" w:hAnsi="Times Roman"/>
          <w:rtl w:val="0"/>
          <w:lang w:val="it-IT"/>
        </w:rPr>
        <w:t>L'amministratore delegato di Sogei Cristiano Cannarsa ha evidenziato come l'Italia importi ed esporti beni per oltre 600 miliardi di euro, cifra che corrisponde quasi all'ammontare complessivo delle entrate dello Stato. Cannarsa ha descritto Sogei come un sistema integrato al servizio del Ministero dell'Economia capace di &lt;strong&gt;connettere in modo interoperabile&lt;/strong&gt; banche dati ed enti.</w:t>
      </w:r>
    </w:p>
    <w:p>
      <w:pPr>
        <w:pStyle w:val="Di default"/>
        <w:suppressAutoHyphens w:val="1"/>
        <w:spacing w:before="0" w:after="240" w:line="240" w:lineRule="auto"/>
        <w:rPr>
          <w:rFonts w:ascii="Times Roman" w:cs="Times Roman" w:hAnsi="Times Roman" w:eastAsia="Times Roman"/>
        </w:rPr>
      </w:pPr>
      <w:r>
        <w:rPr>
          <w:rFonts w:ascii="Times Roman" w:hAnsi="Times Roman"/>
          <w:rtl w:val="0"/>
          <w:lang w:val="it-IT"/>
        </w:rPr>
        <w:t>Il nuovo bando di gara ADM 2025 per le licenze di gioco a distanza limita a 50 il numero di concessioni con costo di 7 milioni di euro. Il bando incorpora requisiti tecnologici avanzati per protezione giocatori, antiriciclaggio e sicurezza dati. Attualmente operano sul mercato italiano oltre 80 concessionari.</w:t>
      </w:r>
    </w:p>
    <w:p>
      <w:pPr>
        <w:pStyle w:val="Di default"/>
        <w:suppressAutoHyphens w:val="1"/>
        <w:spacing w:before="0" w:after="240" w:line="240" w:lineRule="auto"/>
      </w:pPr>
      <w:r>
        <w:rPr>
          <w:rFonts w:ascii="Times Roman" w:hAnsi="Times Roman"/>
          <w:rtl w:val="0"/>
          <w:lang w:val="it-IT"/>
        </w:rPr>
        <w:t>L'Osservatorio Agenda Digitale del Politecnico di Milano ha presentato dati secondo cui l'Italia conta 157 progetti di intelligenza artificiale nella Pubblica Amministrazione su quasi 1.500 censiti a livello internazionale, posizionandosi tra i Paesi pi</w:t>
      </w:r>
      <w:r>
        <w:rPr>
          <w:rFonts w:ascii="Times Roman" w:hAnsi="Times Roman" w:hint="default"/>
          <w:rtl w:val="0"/>
          <w:lang w:val="it-IT"/>
        </w:rPr>
        <w:t xml:space="preserve">ù </w:t>
      </w:r>
      <w:r>
        <w:rPr>
          <w:rFonts w:ascii="Times Roman" w:hAnsi="Times Roman"/>
          <w:rtl w:val="0"/>
          <w:lang w:val="it-IT"/>
        </w:rPr>
        <w:t>virtuosi in Europa. L'AI Act europeo prevede obblighi operativi scaglionati nel 2026-2027 per sistemi classificati ad alto rischio.</w:t>
      </w:r>
    </w:p>
    <w:sectPr>
      <w:headerReference w:type="default" r:id="rId4"/>
      <w:footerReference w:type="default" r:id="rId5"/>
      <w:pgSz w:w="11900" w:h="16840" w:orient="portrait"/>
      <w:pgMar w:top="1440" w:right="1440" w:bottom="1440" w:left="1440" w:header="480" w:footer="48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tabs>
        <w:tab w:val="center" w:pos="4510"/>
      </w:tabs>
      <w:jc w:val="left"/>
    </w:pPr>
    <w:r>
      <w:rPr>
        <w:rtl w:val="0"/>
      </w:rPr>
      <w:t>Pi</w:t>
    </w:r>
    <w:r>
      <w:rPr>
        <w:rtl w:val="0"/>
        <w:lang w:val="it-IT"/>
      </w:rPr>
      <w:t xml:space="preserve">è </w:t>
    </w:r>
    <w:r>
      <w:rPr>
        <w:rtl w:val="0"/>
        <w:lang w:val="it-IT"/>
      </w:rPr>
      <w:t>di pagina</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Intestazione e piè di pagina">
    <w:name w:val="Intestazione e piè di pagina"/>
    <w:next w:val="Intestazione e piè di pagin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i default">
    <w:name w:val="Di default"/>
    <w:next w:val="Di 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30000"/>
          </a:lnSpc>
          <a:spcBef>
            <a:spcPts val="1200"/>
          </a:spcBef>
          <a:spcAft>
            <a:spcPts val="0"/>
          </a:spcAft>
          <a:buClrTx/>
          <a:buSzTx/>
          <a:buFontTx/>
          <a:buNone/>
          <a:tabLst/>
          <a:defRPr b="0" baseline="0" cap="none" i="0" spc="36"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